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4.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2B" w:rsidRDefault="0054770C">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-382772</wp:posOffset>
                </wp:positionH>
                <wp:positionV relativeFrom="paragraph">
                  <wp:posOffset>-340243</wp:posOffset>
                </wp:positionV>
                <wp:extent cx="8867037" cy="6762307"/>
                <wp:effectExtent l="0" t="0" r="0" b="635"/>
                <wp:wrapNone/>
                <wp:docPr id="1" name="Text Box 1"/>
                <wp:cNvGraphicFramePr/>
                <a:graphic xmlns:a="http://schemas.openxmlformats.org/drawingml/2006/main">
                  <a:graphicData uri="http://schemas.microsoft.com/office/word/2010/wordprocessingShape">
                    <wps:wsp>
                      <wps:cNvSpPr txBox="1"/>
                      <wps:spPr>
                        <a:xfrm>
                          <a:off x="0" y="0"/>
                          <a:ext cx="8867037" cy="6762307"/>
                        </a:xfrm>
                        <a:prstGeom prst="rect">
                          <a:avLst/>
                        </a:prstGeom>
                        <a:solidFill>
                          <a:schemeClr val="lt1"/>
                        </a:solidFill>
                        <a:ln w="6350">
                          <a:noFill/>
                        </a:ln>
                      </wps:spPr>
                      <wps:txbx>
                        <w:txbxContent>
                          <w:p w:rsidR="008C5BFE" w:rsidRPr="000953F0" w:rsidRDefault="008C5BFE" w:rsidP="0054770C">
                            <w:pPr>
                              <w:rPr>
                                <w:rFonts w:cstheme="minorHAnsi"/>
                                <w:b/>
                                <w:sz w:val="32"/>
                              </w:rPr>
                            </w:pPr>
                            <w:bookmarkStart w:id="1" w:name="_Hlk515630118"/>
                            <w:bookmarkEnd w:id="1"/>
                            <w:r w:rsidRPr="000953F0">
                              <w:rPr>
                                <w:b/>
                                <w:sz w:val="32"/>
                              </w:rPr>
                              <w:t>UW-River Falls</w:t>
                            </w:r>
                            <w:r w:rsidR="00712288">
                              <w:rPr>
                                <w:b/>
                                <w:sz w:val="32"/>
                              </w:rPr>
                              <w:t xml:space="preserve"> - </w:t>
                            </w:r>
                            <w:r w:rsidRPr="000953F0">
                              <w:rPr>
                                <w:rFonts w:cstheme="minorHAnsi"/>
                                <w:b/>
                                <w:sz w:val="32"/>
                              </w:rPr>
                              <w:t>Budget in Brief</w:t>
                            </w:r>
                            <w:r>
                              <w:rPr>
                                <w:rFonts w:cstheme="minorHAnsi"/>
                                <w:b/>
                                <w:sz w:val="32"/>
                              </w:rPr>
                              <w:t xml:space="preserve"> – June 201</w:t>
                            </w:r>
                            <w:r w:rsidR="00B04969">
                              <w:rPr>
                                <w:rFonts w:cstheme="minorHAnsi"/>
                                <w:b/>
                                <w:sz w:val="32"/>
                              </w:rPr>
                              <w:t>9</w:t>
                            </w:r>
                          </w:p>
                          <w:p w:rsidR="008C5BFE" w:rsidRPr="0057480B" w:rsidRDefault="008C5BFE" w:rsidP="0054770C">
                            <w:pPr>
                              <w:rPr>
                                <w:rFonts w:cstheme="minorHAnsi"/>
                                <w:sz w:val="24"/>
                              </w:rPr>
                            </w:pPr>
                            <w:r w:rsidRPr="0057480B">
                              <w:rPr>
                                <w:rFonts w:cstheme="minorHAnsi"/>
                                <w:sz w:val="24"/>
                              </w:rPr>
                              <w:t>Budget decisions must</w:t>
                            </w:r>
                            <w:r w:rsidR="00712288">
                              <w:rPr>
                                <w:rFonts w:cstheme="minorHAnsi"/>
                                <w:sz w:val="24"/>
                              </w:rPr>
                              <w:t xml:space="preserve"> support</w:t>
                            </w:r>
                            <w:r w:rsidRPr="0057480B">
                              <w:rPr>
                                <w:rFonts w:cstheme="minorHAnsi"/>
                                <w:sz w:val="24"/>
                              </w:rPr>
                              <w:t xml:space="preserve"> the </w:t>
                            </w:r>
                            <w:r w:rsidR="00712288">
                              <w:rPr>
                                <w:rFonts w:cstheme="minorHAnsi"/>
                                <w:sz w:val="24"/>
                              </w:rPr>
                              <w:t xml:space="preserve">university’s </w:t>
                            </w:r>
                            <w:r w:rsidRPr="0057480B">
                              <w:rPr>
                                <w:rFonts w:cstheme="minorHAnsi"/>
                                <w:sz w:val="24"/>
                              </w:rPr>
                              <w:t xml:space="preserve">strategic plan.  Pathway to Distinction serves as our road map as we navigate challenges such as declining state support, increased reliance on student tuition and fees, a highly competitive marketplace, and transformational and global changes in technology, demography, and the environment. Having a strategic plan allows us to make hard choices, allocate scarce resources, continually measure and assess our progress, and celebrate our success. </w:t>
                            </w:r>
                          </w:p>
                          <w:p w:rsidR="00C93D8E" w:rsidRPr="00C93D8E" w:rsidRDefault="008C5BFE" w:rsidP="0054770C">
                            <w:pPr>
                              <w:rPr>
                                <w:rFonts w:cstheme="minorHAnsi"/>
                                <w:sz w:val="24"/>
                                <w:szCs w:val="24"/>
                              </w:rPr>
                            </w:pPr>
                            <w:r w:rsidRPr="0057480B">
                              <w:rPr>
                                <w:rFonts w:cstheme="minorHAnsi"/>
                                <w:sz w:val="24"/>
                              </w:rPr>
                              <w:t xml:space="preserve">As the University strives to achieve </w:t>
                            </w:r>
                            <w:r w:rsidR="00712288">
                              <w:rPr>
                                <w:rFonts w:cstheme="minorHAnsi"/>
                                <w:sz w:val="24"/>
                              </w:rPr>
                              <w:t xml:space="preserve">the goals of </w:t>
                            </w:r>
                            <w:r w:rsidRPr="0057480B">
                              <w:rPr>
                                <w:rFonts w:cstheme="minorHAnsi"/>
                                <w:sz w:val="24"/>
                              </w:rPr>
                              <w:t xml:space="preserve">its strategic plan, the annual budget process is an integral part of identifying the best use of limited resources. UWRF uses incremental base budgeting for general purpose revenue (GPR) accounts.  The new year’s budget starts with last year’s budget allocation for supplies and expense, capital, limited term employees, student assistance, and salary for continuing permanent employees.  The </w:t>
                            </w:r>
                            <w:r w:rsidR="00C93D8E">
                              <w:rPr>
                                <w:rFonts w:cstheme="minorHAnsi"/>
                                <w:sz w:val="24"/>
                              </w:rPr>
                              <w:t>semi-</w:t>
                            </w:r>
                            <w:r w:rsidRPr="0057480B">
                              <w:rPr>
                                <w:rFonts w:cstheme="minorHAnsi"/>
                                <w:sz w:val="24"/>
                              </w:rPr>
                              <w:t>annual budget process distributes funding identified through the central pool process and</w:t>
                            </w:r>
                            <w:r w:rsidR="00712288">
                              <w:rPr>
                                <w:rFonts w:cstheme="minorHAnsi"/>
                                <w:sz w:val="24"/>
                              </w:rPr>
                              <w:t xml:space="preserve">, as </w:t>
                            </w:r>
                            <w:r w:rsidR="00712288" w:rsidRPr="00C93D8E">
                              <w:rPr>
                                <w:rFonts w:cstheme="minorHAnsi"/>
                                <w:sz w:val="24"/>
                                <w:szCs w:val="24"/>
                              </w:rPr>
                              <w:t>appropriate,</w:t>
                            </w:r>
                            <w:r w:rsidRPr="00C93D8E">
                              <w:rPr>
                                <w:rFonts w:cstheme="minorHAnsi"/>
                                <w:sz w:val="24"/>
                                <w:szCs w:val="24"/>
                              </w:rPr>
                              <w:t xml:space="preserve"> new funding.  </w:t>
                            </w:r>
                          </w:p>
                          <w:p w:rsidR="00C93D8E" w:rsidRDefault="00C93D8E" w:rsidP="00C93D8E">
                            <w:pPr>
                              <w:spacing w:after="0" w:line="240" w:lineRule="auto"/>
                              <w:rPr>
                                <w:rFonts w:cstheme="minorHAnsi"/>
                                <w:sz w:val="24"/>
                                <w:szCs w:val="24"/>
                              </w:rPr>
                            </w:pPr>
                            <w:r w:rsidRPr="00C93D8E">
                              <w:rPr>
                                <w:rFonts w:cstheme="minorHAnsi"/>
                                <w:sz w:val="24"/>
                                <w:szCs w:val="24"/>
                              </w:rPr>
                              <w:t>Starting with Round 1 for FY 2019-20, there are separate pools for tenure track positions and for the campus.  For the tenure track positions, faculty may request GPR funded positions twice a year, spring and fall.  Chairs gather the faculty requests and present their recommendations to the Department Chair who present their recommendations to the Provost.  The Provost, Academic Deans, Assistant Chancellor for Business and Finance (ex-officio), Faculty Senate Chair (ex-officio) and Chancellor (ex-officio) review requests in a meeting open to campus.  The Provost and Academic Deans will make recommendations to the Chancellor.</w:t>
                            </w:r>
                            <w:r>
                              <w:rPr>
                                <w:rFonts w:cstheme="minorHAnsi"/>
                                <w:sz w:val="24"/>
                                <w:szCs w:val="24"/>
                              </w:rPr>
                              <w:t xml:space="preserve">  The Chancellor will make final budgetary decisions and communicate the decisions to campus.</w:t>
                            </w:r>
                          </w:p>
                          <w:p w:rsidR="00C93D8E" w:rsidRDefault="00C93D8E" w:rsidP="00C93D8E">
                            <w:pPr>
                              <w:spacing w:after="0" w:line="240" w:lineRule="auto"/>
                              <w:rPr>
                                <w:rFonts w:cstheme="minorHAnsi"/>
                                <w:sz w:val="24"/>
                                <w:szCs w:val="24"/>
                              </w:rPr>
                            </w:pPr>
                          </w:p>
                          <w:p w:rsidR="00C93D8E" w:rsidRPr="00C93D8E" w:rsidRDefault="00C93D8E" w:rsidP="00C93D8E">
                            <w:pPr>
                              <w:spacing w:after="0" w:line="240" w:lineRule="auto"/>
                              <w:rPr>
                                <w:rFonts w:cstheme="minorHAnsi"/>
                                <w:sz w:val="24"/>
                                <w:szCs w:val="24"/>
                              </w:rPr>
                            </w:pPr>
                            <w:r w:rsidRPr="00C93D8E">
                              <w:rPr>
                                <w:rFonts w:cstheme="minorHAnsi"/>
                                <w:sz w:val="24"/>
                                <w:szCs w:val="24"/>
                              </w:rPr>
                              <w:t>For the campus pool, campus may submit requests for general purpose funding twice a year, spring and fall.  The process for submission of requests is outline</w:t>
                            </w:r>
                            <w:r w:rsidR="00F70C66">
                              <w:rPr>
                                <w:rFonts w:cstheme="minorHAnsi"/>
                                <w:sz w:val="24"/>
                                <w:szCs w:val="24"/>
                              </w:rPr>
                              <w:t>d</w:t>
                            </w:r>
                            <w:r w:rsidRPr="00C93D8E">
                              <w:rPr>
                                <w:rFonts w:cstheme="minorHAnsi"/>
                                <w:sz w:val="24"/>
                                <w:szCs w:val="24"/>
                              </w:rPr>
                              <w:t xml:space="preserve"> on the budget website.  </w:t>
                            </w:r>
                            <w:r w:rsidR="008C5BFE" w:rsidRPr="00C93D8E">
                              <w:rPr>
                                <w:rFonts w:cstheme="minorHAnsi"/>
                                <w:sz w:val="24"/>
                                <w:szCs w:val="24"/>
                              </w:rPr>
                              <w:t>Completed budget requ</w:t>
                            </w:r>
                            <w:r w:rsidR="00712288" w:rsidRPr="00C93D8E">
                              <w:rPr>
                                <w:rFonts w:cstheme="minorHAnsi"/>
                                <w:sz w:val="24"/>
                                <w:szCs w:val="24"/>
                              </w:rPr>
                              <w:t>ests are available for review by</w:t>
                            </w:r>
                            <w:r w:rsidR="008C5BFE" w:rsidRPr="00C93D8E">
                              <w:rPr>
                                <w:rFonts w:cstheme="minorHAnsi"/>
                                <w:sz w:val="24"/>
                                <w:szCs w:val="24"/>
                              </w:rPr>
                              <w:t xml:space="preserve"> all students and employees through a university shared drive.  </w:t>
                            </w:r>
                            <w:r w:rsidRPr="00C93D8E">
                              <w:rPr>
                                <w:rFonts w:cstheme="minorHAnsi"/>
                                <w:sz w:val="24"/>
                                <w:szCs w:val="24"/>
                              </w:rPr>
                              <w:t>The Budget Review and Recommendation Committee will review requests in a meeting open to campus.  The recommending members of the Committee will make recommendations to the Chancellor.  The recommending members will be the Provost, Assistant Chancellor for Student Affairs, Assistant Chancellor for Advancement, Assistant Chancellor for Business and Finance, and the Executive Assistant to the Chancellor.  The Chancellor and shared governance leaders are ex-officio, non-recommending members of the committee.</w:t>
                            </w:r>
                            <w:r>
                              <w:rPr>
                                <w:rFonts w:cstheme="minorHAnsi"/>
                                <w:sz w:val="24"/>
                                <w:szCs w:val="24"/>
                              </w:rPr>
                              <w:t xml:space="preserve">  </w:t>
                            </w:r>
                            <w:r w:rsidRPr="00C93D8E">
                              <w:rPr>
                                <w:rFonts w:cstheme="minorHAnsi"/>
                                <w:sz w:val="24"/>
                                <w:szCs w:val="24"/>
                              </w:rPr>
                              <w:t>The Chancellor will make final budgetary decisions and communicate the decisions to campus.</w:t>
                            </w:r>
                          </w:p>
                          <w:p w:rsidR="00C93D8E" w:rsidRPr="0057480B" w:rsidRDefault="00C93D8E" w:rsidP="00C93D8E">
                            <w:pPr>
                              <w:spacing w:after="0" w:line="240" w:lineRule="auto"/>
                              <w:rPr>
                                <w:rFonts w:cstheme="minorHAnsi"/>
                                <w:sz w:val="24"/>
                              </w:rPr>
                            </w:pPr>
                          </w:p>
                          <w:p w:rsidR="008C5BFE" w:rsidRPr="0057480B" w:rsidRDefault="008C5BFE" w:rsidP="00C93D8E">
                            <w:pPr>
                              <w:rPr>
                                <w:rFonts w:cstheme="minorHAnsi"/>
                                <w:b/>
                                <w:sz w:val="24"/>
                              </w:rPr>
                            </w:pPr>
                            <w:r w:rsidRPr="0057480B">
                              <w:rPr>
                                <w:rFonts w:cstheme="minorHAnsi"/>
                                <w:b/>
                                <w:sz w:val="24"/>
                              </w:rPr>
                              <w:t>Areas of consideration for funding</w:t>
                            </w:r>
                            <w:r w:rsidR="00712288">
                              <w:rPr>
                                <w:rFonts w:cstheme="minorHAnsi"/>
                                <w:b/>
                                <w:sz w:val="24"/>
                              </w:rPr>
                              <w:t xml:space="preserve"> decisions</w:t>
                            </w:r>
                            <w:r w:rsidRPr="0057480B">
                              <w:rPr>
                                <w:rFonts w:cstheme="minorHAnsi"/>
                                <w:b/>
                                <w:sz w:val="24"/>
                              </w:rPr>
                              <w:t>:</w:t>
                            </w:r>
                          </w:p>
                          <w:p w:rsidR="008C5BFE" w:rsidRPr="00C93D8E" w:rsidRDefault="00C93D8E" w:rsidP="00C93D8E">
                            <w:pPr>
                              <w:rPr>
                                <w:rFonts w:cstheme="minorHAnsi"/>
                                <w:sz w:val="24"/>
                              </w:rPr>
                            </w:pPr>
                            <w:r>
                              <w:rPr>
                                <w:rFonts w:cstheme="minorHAnsi"/>
                                <w:sz w:val="24"/>
                              </w:rPr>
                              <w:t xml:space="preserve">1) </w:t>
                            </w:r>
                            <w:r w:rsidR="008C5BFE" w:rsidRPr="00C93D8E">
                              <w:rPr>
                                <w:rFonts w:cstheme="minorHAnsi"/>
                                <w:sz w:val="24"/>
                              </w:rPr>
                              <w:t>Impact on strategic plan</w:t>
                            </w:r>
                            <w:r w:rsidRPr="00C93D8E">
                              <w:rPr>
                                <w:rFonts w:cstheme="minorHAnsi"/>
                                <w:sz w:val="24"/>
                              </w:rPr>
                              <w:t>, 2)</w:t>
                            </w:r>
                            <w:r>
                              <w:rPr>
                                <w:rFonts w:cstheme="minorHAnsi"/>
                                <w:sz w:val="24"/>
                              </w:rPr>
                              <w:t xml:space="preserve"> </w:t>
                            </w:r>
                            <w:r w:rsidR="008C5BFE" w:rsidRPr="00C93D8E">
                              <w:rPr>
                                <w:rFonts w:cstheme="minorHAnsi"/>
                                <w:sz w:val="24"/>
                              </w:rPr>
                              <w:t>Assessment of student learning</w:t>
                            </w:r>
                            <w:r w:rsidRPr="00C93D8E">
                              <w:rPr>
                                <w:rFonts w:cstheme="minorHAnsi"/>
                                <w:sz w:val="24"/>
                              </w:rPr>
                              <w:t xml:space="preserve">, 3) </w:t>
                            </w:r>
                            <w:r w:rsidR="008C5BFE" w:rsidRPr="00C93D8E">
                              <w:rPr>
                                <w:rFonts w:cstheme="minorHAnsi"/>
                                <w:sz w:val="24"/>
                              </w:rPr>
                              <w:t>Impact on students/faculty/staff</w:t>
                            </w:r>
                            <w:r w:rsidRPr="00C93D8E">
                              <w:rPr>
                                <w:rFonts w:cstheme="minorHAnsi"/>
                                <w:sz w:val="24"/>
                              </w:rPr>
                              <w:t xml:space="preserve">. 4) </w:t>
                            </w:r>
                            <w:r w:rsidR="008C5BFE" w:rsidRPr="00C93D8E">
                              <w:rPr>
                                <w:rFonts w:cstheme="minorHAnsi"/>
                                <w:sz w:val="24"/>
                              </w:rPr>
                              <w:t>Impact on teaching, learning and research</w:t>
                            </w:r>
                            <w:r w:rsidRPr="00C93D8E">
                              <w:rPr>
                                <w:rFonts w:cstheme="minorHAnsi"/>
                                <w:sz w:val="24"/>
                              </w:rPr>
                              <w:t xml:space="preserve">, 5) </w:t>
                            </w:r>
                            <w:r w:rsidR="008C5BFE" w:rsidRPr="00C93D8E">
                              <w:rPr>
                                <w:rFonts w:cstheme="minorHAnsi"/>
                                <w:sz w:val="24"/>
                              </w:rPr>
                              <w:t>Impact on operational improvements</w:t>
                            </w:r>
                            <w:r w:rsidRPr="00C93D8E">
                              <w:rPr>
                                <w:rFonts w:cstheme="minorHAnsi"/>
                                <w:sz w:val="24"/>
                              </w:rPr>
                              <w:t xml:space="preserve">, 6) </w:t>
                            </w:r>
                            <w:r w:rsidR="008C5BFE" w:rsidRPr="00C93D8E">
                              <w:rPr>
                                <w:rFonts w:cstheme="minorHAnsi"/>
                                <w:sz w:val="24"/>
                              </w:rPr>
                              <w:t>Impact on enrollment, graduation, post-graduation outcomes</w:t>
                            </w:r>
                            <w:r w:rsidRPr="00C93D8E">
                              <w:rPr>
                                <w:rFonts w:cstheme="minorHAnsi"/>
                                <w:sz w:val="24"/>
                              </w:rPr>
                              <w:t xml:space="preserve">, 7) </w:t>
                            </w:r>
                            <w:r w:rsidR="008C5BFE" w:rsidRPr="00C93D8E">
                              <w:rPr>
                                <w:rFonts w:cstheme="minorHAnsi"/>
                                <w:sz w:val="24"/>
                              </w:rPr>
                              <w:t>Impact on accreditation</w:t>
                            </w:r>
                            <w:r w:rsidRPr="00C93D8E">
                              <w:rPr>
                                <w:rFonts w:cstheme="minorHAnsi"/>
                                <w:sz w:val="24"/>
                              </w:rPr>
                              <w:t xml:space="preserve">, and 8) </w:t>
                            </w:r>
                            <w:r w:rsidR="008C5BFE" w:rsidRPr="00C93D8E">
                              <w:rPr>
                                <w:rFonts w:cstheme="minorHAnsi"/>
                                <w:sz w:val="24"/>
                              </w:rPr>
                              <w:t>Compliance with state and federal regulations</w:t>
                            </w:r>
                          </w:p>
                          <w:p w:rsidR="008C5BFE" w:rsidRDefault="008C5BFE" w:rsidP="002537F1">
                            <w:pPr>
                              <w:jc w:val="right"/>
                            </w:pPr>
                            <w:r>
                              <w:rPr>
                                <w:noProof/>
                              </w:rPr>
                              <w:drawing>
                                <wp:inline distT="0" distB="0" distL="0" distR="0">
                                  <wp:extent cx="2860040" cy="287020"/>
                                  <wp:effectExtent l="0" t="0" r="0" b="0"/>
                                  <wp:docPr id="2" name="Picture 2" descr="hrztl-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ztl-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p w:rsidR="008C5BFE" w:rsidRDefault="008C5BFE" w:rsidP="002537F1"/>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26.8pt;width:698.2pt;height:5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" fillcolor="white [3201]" stroked="f" strokeweight=".5pt">
                <v:textbox>
                  <w:txbxContent>
                    <w:p w:rsidR="008C5BFE" w:rsidRPr="000953F0" w:rsidRDefault="008C5BFE" w:rsidP="0054770C">
                      <w:pPr>
                        <w:rPr>
                          <w:rFonts w:cstheme="minorHAnsi"/>
                          <w:b/>
                          <w:sz w:val="32"/>
                        </w:rPr>
                      </w:pPr>
                      <w:bookmarkStart w:id="2" w:name="_Hlk515630118"/>
                      <w:bookmarkEnd w:id="2"/>
                      <w:r w:rsidRPr="000953F0">
                        <w:rPr>
                          <w:b/>
                          <w:sz w:val="32"/>
                        </w:rPr>
                        <w:t>UW-River Falls</w:t>
                      </w:r>
                      <w:r w:rsidR="00712288">
                        <w:rPr>
                          <w:b/>
                          <w:sz w:val="32"/>
                        </w:rPr>
                        <w:t xml:space="preserve"> - </w:t>
                      </w:r>
                      <w:r w:rsidRPr="000953F0">
                        <w:rPr>
                          <w:rFonts w:cstheme="minorHAnsi"/>
                          <w:b/>
                          <w:sz w:val="32"/>
                        </w:rPr>
                        <w:t>Budget in Brief</w:t>
                      </w:r>
                      <w:r>
                        <w:rPr>
                          <w:rFonts w:cstheme="minorHAnsi"/>
                          <w:b/>
                          <w:sz w:val="32"/>
                        </w:rPr>
                        <w:t xml:space="preserve"> – June 201</w:t>
                      </w:r>
                      <w:r w:rsidR="00B04969">
                        <w:rPr>
                          <w:rFonts w:cstheme="minorHAnsi"/>
                          <w:b/>
                          <w:sz w:val="32"/>
                        </w:rPr>
                        <w:t>9</w:t>
                      </w:r>
                    </w:p>
                    <w:p w:rsidR="008C5BFE" w:rsidRPr="0057480B" w:rsidRDefault="008C5BFE" w:rsidP="0054770C">
                      <w:pPr>
                        <w:rPr>
                          <w:rFonts w:cstheme="minorHAnsi"/>
                          <w:sz w:val="24"/>
                        </w:rPr>
                      </w:pPr>
                      <w:r w:rsidRPr="0057480B">
                        <w:rPr>
                          <w:rFonts w:cstheme="minorHAnsi"/>
                          <w:sz w:val="24"/>
                        </w:rPr>
                        <w:t>Budget decisions must</w:t>
                      </w:r>
                      <w:r w:rsidR="00712288">
                        <w:rPr>
                          <w:rFonts w:cstheme="minorHAnsi"/>
                          <w:sz w:val="24"/>
                        </w:rPr>
                        <w:t xml:space="preserve"> support</w:t>
                      </w:r>
                      <w:r w:rsidRPr="0057480B">
                        <w:rPr>
                          <w:rFonts w:cstheme="minorHAnsi"/>
                          <w:sz w:val="24"/>
                        </w:rPr>
                        <w:t xml:space="preserve"> the </w:t>
                      </w:r>
                      <w:r w:rsidR="00712288">
                        <w:rPr>
                          <w:rFonts w:cstheme="minorHAnsi"/>
                          <w:sz w:val="24"/>
                        </w:rPr>
                        <w:t xml:space="preserve">university’s </w:t>
                      </w:r>
                      <w:r w:rsidRPr="0057480B">
                        <w:rPr>
                          <w:rFonts w:cstheme="minorHAnsi"/>
                          <w:sz w:val="24"/>
                        </w:rPr>
                        <w:t xml:space="preserve">strategic plan.  Pathway to Distinction serves as our road map as we navigate challenges such as declining state support, increased reliance on student tuition and fees, a highly competitive marketplace, and transformational and global changes in technology, demography, and the environment. Having a strategic plan allows us to make hard choices, allocate scarce resources, continually measure and assess our progress, and celebrate our success. </w:t>
                      </w:r>
                    </w:p>
                    <w:p w:rsidR="00C93D8E" w:rsidRPr="00C93D8E" w:rsidRDefault="008C5BFE" w:rsidP="0054770C">
                      <w:pPr>
                        <w:rPr>
                          <w:rFonts w:cstheme="minorHAnsi"/>
                          <w:sz w:val="24"/>
                          <w:szCs w:val="24"/>
                        </w:rPr>
                      </w:pPr>
                      <w:r w:rsidRPr="0057480B">
                        <w:rPr>
                          <w:rFonts w:cstheme="minorHAnsi"/>
                          <w:sz w:val="24"/>
                        </w:rPr>
                        <w:t xml:space="preserve">As the University strives to achieve </w:t>
                      </w:r>
                      <w:r w:rsidR="00712288">
                        <w:rPr>
                          <w:rFonts w:cstheme="minorHAnsi"/>
                          <w:sz w:val="24"/>
                        </w:rPr>
                        <w:t xml:space="preserve">the goals of </w:t>
                      </w:r>
                      <w:r w:rsidRPr="0057480B">
                        <w:rPr>
                          <w:rFonts w:cstheme="minorHAnsi"/>
                          <w:sz w:val="24"/>
                        </w:rPr>
                        <w:t xml:space="preserve">its strategic plan, the annual budget process is an integral part of identifying the best use of limited resources. UWRF uses incremental base budgeting for general purpose revenue (GPR) accounts.  The new year’s budget starts with last year’s budget allocation for supplies and expense, capital, limited term employees, student assistance, and salary for continuing permanent employees.  The </w:t>
                      </w:r>
                      <w:r w:rsidR="00C93D8E">
                        <w:rPr>
                          <w:rFonts w:cstheme="minorHAnsi"/>
                          <w:sz w:val="24"/>
                        </w:rPr>
                        <w:t>semi-</w:t>
                      </w:r>
                      <w:r w:rsidRPr="0057480B">
                        <w:rPr>
                          <w:rFonts w:cstheme="minorHAnsi"/>
                          <w:sz w:val="24"/>
                        </w:rPr>
                        <w:t>annual budget process distributes funding identified through the central pool process and</w:t>
                      </w:r>
                      <w:r w:rsidR="00712288">
                        <w:rPr>
                          <w:rFonts w:cstheme="minorHAnsi"/>
                          <w:sz w:val="24"/>
                        </w:rPr>
                        <w:t xml:space="preserve">, as </w:t>
                      </w:r>
                      <w:r w:rsidR="00712288" w:rsidRPr="00C93D8E">
                        <w:rPr>
                          <w:rFonts w:cstheme="minorHAnsi"/>
                          <w:sz w:val="24"/>
                          <w:szCs w:val="24"/>
                        </w:rPr>
                        <w:t>appropriate,</w:t>
                      </w:r>
                      <w:r w:rsidRPr="00C93D8E">
                        <w:rPr>
                          <w:rFonts w:cstheme="minorHAnsi"/>
                          <w:sz w:val="24"/>
                          <w:szCs w:val="24"/>
                        </w:rPr>
                        <w:t xml:space="preserve"> new funding.  </w:t>
                      </w:r>
                    </w:p>
                    <w:p w:rsidR="00C93D8E" w:rsidRDefault="00C93D8E" w:rsidP="00C93D8E">
                      <w:pPr>
                        <w:spacing w:after="0" w:line="240" w:lineRule="auto"/>
                        <w:rPr>
                          <w:rFonts w:cstheme="minorHAnsi"/>
                          <w:sz w:val="24"/>
                          <w:szCs w:val="24"/>
                        </w:rPr>
                      </w:pPr>
                      <w:r w:rsidRPr="00C93D8E">
                        <w:rPr>
                          <w:rFonts w:cstheme="minorHAnsi"/>
                          <w:sz w:val="24"/>
                          <w:szCs w:val="24"/>
                        </w:rPr>
                        <w:t>Starting with Round 1 for FY 2019-20, there are separate pools for tenure track positions and for the campus.  For the tenure track positions, faculty may request GPR funded positions twice a year, spring and fall.  Chairs gather the faculty requests and present their recommendations to the Department Chair who present their recommendations to the Provost.  The Provost, Academic Deans, Assistant Chancellor for Business and Finance (ex-officio), Faculty Senate Chair (ex-officio) and Chancellor (ex-officio) review requests in a meeting open to campus.  The Provost and Academic Deans will make recommendations to the Chancellor.</w:t>
                      </w:r>
                      <w:r>
                        <w:rPr>
                          <w:rFonts w:cstheme="minorHAnsi"/>
                          <w:sz w:val="24"/>
                          <w:szCs w:val="24"/>
                        </w:rPr>
                        <w:t xml:space="preserve">  The Chancellor will make final budgetary decisions and communicate the decisions to campus.</w:t>
                      </w:r>
                    </w:p>
                    <w:p w:rsidR="00C93D8E" w:rsidRDefault="00C93D8E" w:rsidP="00C93D8E">
                      <w:pPr>
                        <w:spacing w:after="0" w:line="240" w:lineRule="auto"/>
                        <w:rPr>
                          <w:rFonts w:cstheme="minorHAnsi"/>
                          <w:sz w:val="24"/>
                          <w:szCs w:val="24"/>
                        </w:rPr>
                      </w:pPr>
                    </w:p>
                    <w:p w:rsidR="00C93D8E" w:rsidRPr="00C93D8E" w:rsidRDefault="00C93D8E" w:rsidP="00C93D8E">
                      <w:pPr>
                        <w:spacing w:after="0" w:line="240" w:lineRule="auto"/>
                        <w:rPr>
                          <w:rFonts w:cstheme="minorHAnsi"/>
                          <w:sz w:val="24"/>
                          <w:szCs w:val="24"/>
                        </w:rPr>
                      </w:pPr>
                      <w:r w:rsidRPr="00C93D8E">
                        <w:rPr>
                          <w:rFonts w:cstheme="minorHAnsi"/>
                          <w:sz w:val="24"/>
                          <w:szCs w:val="24"/>
                        </w:rPr>
                        <w:t>For the campus pool, campus may submit requests for general purpose funding twice a year, spring and fall.  The process for submission of requests is outline</w:t>
                      </w:r>
                      <w:r w:rsidR="00F70C66">
                        <w:rPr>
                          <w:rFonts w:cstheme="minorHAnsi"/>
                          <w:sz w:val="24"/>
                          <w:szCs w:val="24"/>
                        </w:rPr>
                        <w:t>d</w:t>
                      </w:r>
                      <w:r w:rsidRPr="00C93D8E">
                        <w:rPr>
                          <w:rFonts w:cstheme="minorHAnsi"/>
                          <w:sz w:val="24"/>
                          <w:szCs w:val="24"/>
                        </w:rPr>
                        <w:t xml:space="preserve"> on the budget website.  </w:t>
                      </w:r>
                      <w:r w:rsidR="008C5BFE" w:rsidRPr="00C93D8E">
                        <w:rPr>
                          <w:rFonts w:cstheme="minorHAnsi"/>
                          <w:sz w:val="24"/>
                          <w:szCs w:val="24"/>
                        </w:rPr>
                        <w:t>Completed budget requ</w:t>
                      </w:r>
                      <w:r w:rsidR="00712288" w:rsidRPr="00C93D8E">
                        <w:rPr>
                          <w:rFonts w:cstheme="minorHAnsi"/>
                          <w:sz w:val="24"/>
                          <w:szCs w:val="24"/>
                        </w:rPr>
                        <w:t>ests are available for review by</w:t>
                      </w:r>
                      <w:r w:rsidR="008C5BFE" w:rsidRPr="00C93D8E">
                        <w:rPr>
                          <w:rFonts w:cstheme="minorHAnsi"/>
                          <w:sz w:val="24"/>
                          <w:szCs w:val="24"/>
                        </w:rPr>
                        <w:t xml:space="preserve"> all students and employees through a university shared drive.  </w:t>
                      </w:r>
                      <w:r w:rsidRPr="00C93D8E">
                        <w:rPr>
                          <w:rFonts w:cstheme="minorHAnsi"/>
                          <w:sz w:val="24"/>
                          <w:szCs w:val="24"/>
                        </w:rPr>
                        <w:t>The Budget Review and Recommendation Committee will review requests in a meeting open to campus.  The recommending members of the Committee will make recommendations to the Chancellor.  The recommending members will be the Provost, Assistant Chancellor for Student Affairs, Assistant Chancellor for Advancement, Assistant Chancellor for Business and Finance, and the Executive Assistant to the Chancellor.  The Chancellor and shared governance leaders are ex-officio, non-recommending members of the committee.</w:t>
                      </w:r>
                      <w:r>
                        <w:rPr>
                          <w:rFonts w:cstheme="minorHAnsi"/>
                          <w:sz w:val="24"/>
                          <w:szCs w:val="24"/>
                        </w:rPr>
                        <w:t xml:space="preserve">  </w:t>
                      </w:r>
                      <w:r w:rsidRPr="00C93D8E">
                        <w:rPr>
                          <w:rFonts w:cstheme="minorHAnsi"/>
                          <w:sz w:val="24"/>
                          <w:szCs w:val="24"/>
                        </w:rPr>
                        <w:t>The Chancellor will make final budgetary decisions and communicate the decisions to campus.</w:t>
                      </w:r>
                    </w:p>
                    <w:p w:rsidR="00C93D8E" w:rsidRPr="0057480B" w:rsidRDefault="00C93D8E" w:rsidP="00C93D8E">
                      <w:pPr>
                        <w:spacing w:after="0" w:line="240" w:lineRule="auto"/>
                        <w:rPr>
                          <w:rFonts w:cstheme="minorHAnsi"/>
                          <w:sz w:val="24"/>
                        </w:rPr>
                      </w:pPr>
                    </w:p>
                    <w:p w:rsidR="008C5BFE" w:rsidRPr="0057480B" w:rsidRDefault="008C5BFE" w:rsidP="00C93D8E">
                      <w:pPr>
                        <w:rPr>
                          <w:rFonts w:cstheme="minorHAnsi"/>
                          <w:b/>
                          <w:sz w:val="24"/>
                        </w:rPr>
                      </w:pPr>
                      <w:r w:rsidRPr="0057480B">
                        <w:rPr>
                          <w:rFonts w:cstheme="minorHAnsi"/>
                          <w:b/>
                          <w:sz w:val="24"/>
                        </w:rPr>
                        <w:t>Areas of consideration for funding</w:t>
                      </w:r>
                      <w:r w:rsidR="00712288">
                        <w:rPr>
                          <w:rFonts w:cstheme="minorHAnsi"/>
                          <w:b/>
                          <w:sz w:val="24"/>
                        </w:rPr>
                        <w:t xml:space="preserve"> decisions</w:t>
                      </w:r>
                      <w:r w:rsidRPr="0057480B">
                        <w:rPr>
                          <w:rFonts w:cstheme="minorHAnsi"/>
                          <w:b/>
                          <w:sz w:val="24"/>
                        </w:rPr>
                        <w:t>:</w:t>
                      </w:r>
                    </w:p>
                    <w:p w:rsidR="008C5BFE" w:rsidRPr="00C93D8E" w:rsidRDefault="00C93D8E" w:rsidP="00C93D8E">
                      <w:pPr>
                        <w:rPr>
                          <w:rFonts w:cstheme="minorHAnsi"/>
                          <w:sz w:val="24"/>
                        </w:rPr>
                      </w:pPr>
                      <w:r>
                        <w:rPr>
                          <w:rFonts w:cstheme="minorHAnsi"/>
                          <w:sz w:val="24"/>
                        </w:rPr>
                        <w:t xml:space="preserve">1) </w:t>
                      </w:r>
                      <w:r w:rsidR="008C5BFE" w:rsidRPr="00C93D8E">
                        <w:rPr>
                          <w:rFonts w:cstheme="minorHAnsi"/>
                          <w:sz w:val="24"/>
                        </w:rPr>
                        <w:t>Impact on strategic plan</w:t>
                      </w:r>
                      <w:r w:rsidRPr="00C93D8E">
                        <w:rPr>
                          <w:rFonts w:cstheme="minorHAnsi"/>
                          <w:sz w:val="24"/>
                        </w:rPr>
                        <w:t>, 2)</w:t>
                      </w:r>
                      <w:r>
                        <w:rPr>
                          <w:rFonts w:cstheme="minorHAnsi"/>
                          <w:sz w:val="24"/>
                        </w:rPr>
                        <w:t xml:space="preserve"> </w:t>
                      </w:r>
                      <w:r w:rsidR="008C5BFE" w:rsidRPr="00C93D8E">
                        <w:rPr>
                          <w:rFonts w:cstheme="minorHAnsi"/>
                          <w:sz w:val="24"/>
                        </w:rPr>
                        <w:t>Assessment of student learning</w:t>
                      </w:r>
                      <w:r w:rsidRPr="00C93D8E">
                        <w:rPr>
                          <w:rFonts w:cstheme="minorHAnsi"/>
                          <w:sz w:val="24"/>
                        </w:rPr>
                        <w:t xml:space="preserve">, 3) </w:t>
                      </w:r>
                      <w:r w:rsidR="008C5BFE" w:rsidRPr="00C93D8E">
                        <w:rPr>
                          <w:rFonts w:cstheme="minorHAnsi"/>
                          <w:sz w:val="24"/>
                        </w:rPr>
                        <w:t>Impact on students/faculty/staff</w:t>
                      </w:r>
                      <w:r w:rsidRPr="00C93D8E">
                        <w:rPr>
                          <w:rFonts w:cstheme="minorHAnsi"/>
                          <w:sz w:val="24"/>
                        </w:rPr>
                        <w:t xml:space="preserve">. 4) </w:t>
                      </w:r>
                      <w:r w:rsidR="008C5BFE" w:rsidRPr="00C93D8E">
                        <w:rPr>
                          <w:rFonts w:cstheme="minorHAnsi"/>
                          <w:sz w:val="24"/>
                        </w:rPr>
                        <w:t>Impact on teaching, learning and research</w:t>
                      </w:r>
                      <w:r w:rsidRPr="00C93D8E">
                        <w:rPr>
                          <w:rFonts w:cstheme="minorHAnsi"/>
                          <w:sz w:val="24"/>
                        </w:rPr>
                        <w:t xml:space="preserve">, 5) </w:t>
                      </w:r>
                      <w:r w:rsidR="008C5BFE" w:rsidRPr="00C93D8E">
                        <w:rPr>
                          <w:rFonts w:cstheme="minorHAnsi"/>
                          <w:sz w:val="24"/>
                        </w:rPr>
                        <w:t>Impact on operational improvements</w:t>
                      </w:r>
                      <w:r w:rsidRPr="00C93D8E">
                        <w:rPr>
                          <w:rFonts w:cstheme="minorHAnsi"/>
                          <w:sz w:val="24"/>
                        </w:rPr>
                        <w:t xml:space="preserve">, 6) </w:t>
                      </w:r>
                      <w:r w:rsidR="008C5BFE" w:rsidRPr="00C93D8E">
                        <w:rPr>
                          <w:rFonts w:cstheme="minorHAnsi"/>
                          <w:sz w:val="24"/>
                        </w:rPr>
                        <w:t>Impact on enrollment, graduation, post-graduation outcomes</w:t>
                      </w:r>
                      <w:r w:rsidRPr="00C93D8E">
                        <w:rPr>
                          <w:rFonts w:cstheme="minorHAnsi"/>
                          <w:sz w:val="24"/>
                        </w:rPr>
                        <w:t xml:space="preserve">, 7) </w:t>
                      </w:r>
                      <w:r w:rsidR="008C5BFE" w:rsidRPr="00C93D8E">
                        <w:rPr>
                          <w:rFonts w:cstheme="minorHAnsi"/>
                          <w:sz w:val="24"/>
                        </w:rPr>
                        <w:t>Impact on accreditation</w:t>
                      </w:r>
                      <w:r w:rsidRPr="00C93D8E">
                        <w:rPr>
                          <w:rFonts w:cstheme="minorHAnsi"/>
                          <w:sz w:val="24"/>
                        </w:rPr>
                        <w:t xml:space="preserve">, and 8) </w:t>
                      </w:r>
                      <w:r w:rsidR="008C5BFE" w:rsidRPr="00C93D8E">
                        <w:rPr>
                          <w:rFonts w:cstheme="minorHAnsi"/>
                          <w:sz w:val="24"/>
                        </w:rPr>
                        <w:t>Compliance with state and federal regulations</w:t>
                      </w:r>
                    </w:p>
                    <w:p w:rsidR="008C5BFE" w:rsidRDefault="008C5BFE" w:rsidP="002537F1">
                      <w:pPr>
                        <w:jc w:val="right"/>
                      </w:pPr>
                      <w:r>
                        <w:rPr>
                          <w:noProof/>
                        </w:rPr>
                        <w:drawing>
                          <wp:inline distT="0" distB="0" distL="0" distR="0">
                            <wp:extent cx="2860040" cy="287020"/>
                            <wp:effectExtent l="0" t="0" r="0" b="0"/>
                            <wp:docPr id="2" name="Picture 2" descr="hrztl-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ztl-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p w:rsidR="008C5BFE" w:rsidRDefault="008C5BFE" w:rsidP="002537F1"/>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p w:rsidR="008C5BFE" w:rsidRDefault="008C5BFE" w:rsidP="002537F1">
                      <w:pPr>
                        <w:jc w:val="right"/>
                      </w:pPr>
                    </w:p>
                  </w:txbxContent>
                </v:textbox>
              </v:shape>
            </w:pict>
          </mc:Fallback>
        </mc:AlternateContent>
      </w:r>
    </w:p>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p w:rsidR="002537F1" w:rsidRDefault="002537F1">
      <w:r>
        <w:rPr>
          <w:noProof/>
        </w:rPr>
        <mc:AlternateContent>
          <mc:Choice Requires="wps">
            <w:drawing>
              <wp:anchor distT="45720" distB="45720" distL="114300" distR="114300" simplePos="0" relativeHeight="251661312" behindDoc="0" locked="0" layoutInCell="1" allowOverlap="1">
                <wp:simplePos x="0" y="0"/>
                <wp:positionH relativeFrom="column">
                  <wp:posOffset>-287655</wp:posOffset>
                </wp:positionH>
                <wp:positionV relativeFrom="paragraph">
                  <wp:posOffset>180340</wp:posOffset>
                </wp:positionV>
                <wp:extent cx="86868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404620"/>
                        </a:xfrm>
                        <a:prstGeom prst="rect">
                          <a:avLst/>
                        </a:prstGeom>
                        <a:solidFill>
                          <a:srgbClr val="FFFFFF"/>
                        </a:solidFill>
                        <a:ln w="9525">
                          <a:noFill/>
                          <a:miter lim="800000"/>
                          <a:headEnd/>
                          <a:tailEnd/>
                        </a:ln>
                      </wps:spPr>
                      <wps:txbx>
                        <w:txbxContent>
                          <w:p w:rsidR="008C5BFE" w:rsidRDefault="008C5BFE" w:rsidP="00B63DAB">
                            <w:pPr>
                              <w:pStyle w:val="Heading1"/>
                            </w:pPr>
                            <w:r>
                              <w:t>Table of Contents</w:t>
                            </w:r>
                          </w:p>
                          <w:p w:rsidR="008C5BFE" w:rsidRPr="00B63DAB" w:rsidRDefault="008C5BFE" w:rsidP="00B63DAB"/>
                          <w:p w:rsidR="008C5BFE" w:rsidRDefault="008C5BFE" w:rsidP="0002082E">
                            <w:r>
                              <w:t>BUDGETED REVENUE SOURCES IN FY 201</w:t>
                            </w:r>
                            <w:r w:rsidR="003705A6">
                              <w:t>8</w:t>
                            </w:r>
                            <w:r>
                              <w:t>-1</w:t>
                            </w:r>
                            <w:r w:rsidR="003705A6">
                              <w:t>9</w:t>
                            </w:r>
                            <w:r>
                              <w:tab/>
                              <w:t>3</w:t>
                            </w:r>
                          </w:p>
                          <w:p w:rsidR="008C5BFE" w:rsidRDefault="008C5BFE" w:rsidP="0002082E">
                            <w:r>
                              <w:t>BUDGETED REVENUE SOURCES IN FY 201</w:t>
                            </w:r>
                            <w:r w:rsidR="003705A6">
                              <w:t>8</w:t>
                            </w:r>
                            <w:r>
                              <w:t>-1</w:t>
                            </w:r>
                            <w:r w:rsidR="003705A6">
                              <w:t>9</w:t>
                            </w:r>
                            <w:r>
                              <w:t xml:space="preserve"> (excluding federal financial aid)</w:t>
                            </w:r>
                            <w:r>
                              <w:tab/>
                              <w:t>4</w:t>
                            </w:r>
                          </w:p>
                          <w:p w:rsidR="008C5BFE" w:rsidRDefault="008C5BFE" w:rsidP="0057480B">
                            <w:pPr>
                              <w:tabs>
                                <w:tab w:val="left" w:pos="2160"/>
                                <w:tab w:val="left" w:pos="7920"/>
                              </w:tabs>
                            </w:pPr>
                            <w:r>
                              <w:t>TUITION AND FEES</w:t>
                            </w:r>
                            <w:r>
                              <w:tab/>
                              <w:t>5</w:t>
                            </w:r>
                            <w:r>
                              <w:tab/>
                            </w:r>
                          </w:p>
                          <w:p w:rsidR="008C5BFE" w:rsidRDefault="008C5BFE" w:rsidP="0002082E">
                            <w:r>
                              <w:t>ACTUAL EXPENDITURES IN FY 201</w:t>
                            </w:r>
                            <w:r w:rsidR="003705A6">
                              <w:t>7</w:t>
                            </w:r>
                            <w:r>
                              <w:t>-1</w:t>
                            </w:r>
                            <w:r w:rsidR="003705A6">
                              <w:t>8</w:t>
                            </w:r>
                            <w:r>
                              <w:tab/>
                              <w:t>6</w:t>
                            </w:r>
                          </w:p>
                          <w:p w:rsidR="008C5BFE" w:rsidRDefault="008C5BFE" w:rsidP="0002082E">
                            <w:r>
                              <w:t>ACTUAL EXPENDITURES BY FUNCTIONAL CLASSIFICATION FY 201</w:t>
                            </w:r>
                            <w:r w:rsidR="003705A6">
                              <w:t>7</w:t>
                            </w:r>
                            <w:r>
                              <w:t>-1</w:t>
                            </w:r>
                            <w:r w:rsidR="003705A6">
                              <w:t>8</w:t>
                            </w:r>
                            <w:r>
                              <w:tab/>
                              <w:t>7</w:t>
                            </w:r>
                          </w:p>
                          <w:p w:rsidR="008C5BFE" w:rsidRDefault="008C5BFE" w:rsidP="0002082E">
                            <w:r>
                              <w:t>YEAR-END FUND BALANCES – 201</w:t>
                            </w:r>
                            <w:r w:rsidR="003705A6">
                              <w:t>7</w:t>
                            </w:r>
                            <w:r>
                              <w:t>-1</w:t>
                            </w:r>
                            <w:r w:rsidR="003705A6">
                              <w:t>8</w:t>
                            </w:r>
                            <w:r>
                              <w:tab/>
                              <w:t>8</w:t>
                            </w:r>
                          </w:p>
                          <w:p w:rsidR="008C5BFE" w:rsidRDefault="008C5BFE" w:rsidP="0002082E">
                            <w:r>
                              <w:t>FINANCIAL MANAGEMENT</w:t>
                            </w:r>
                            <w:r>
                              <w:tab/>
                              <w:t>9</w:t>
                            </w:r>
                          </w:p>
                          <w:p w:rsidR="008C5BFE" w:rsidRDefault="008C5BFE" w:rsidP="0002082E">
                            <w:r>
                              <w:t>FACULTY AND STAFF – FALL 201</w:t>
                            </w:r>
                            <w:r w:rsidR="003705A6">
                              <w:t>8</w:t>
                            </w:r>
                            <w:r>
                              <w:tab/>
                              <w:t>10</w:t>
                            </w:r>
                          </w:p>
                          <w:p w:rsidR="008C5BFE" w:rsidRDefault="008C5BFE" w:rsidP="0002082E">
                            <w:r>
                              <w:t>FACULTY SALARIES COMPARISON WITH UW SYSTEM COMPREHENSIVE CAMPUSES – 201</w:t>
                            </w:r>
                            <w:r w:rsidR="003705A6">
                              <w:t>7</w:t>
                            </w:r>
                            <w:r>
                              <w:t>-1</w:t>
                            </w:r>
                            <w:r w:rsidR="003705A6">
                              <w:t>8</w:t>
                            </w:r>
                            <w:r>
                              <w:tab/>
                              <w:t>11</w:t>
                            </w:r>
                          </w:p>
                          <w:sdt>
                            <w:sdtPr>
                              <w:rPr>
                                <w:b/>
                              </w:rPr>
                              <w:id w:val="2104380666"/>
                              <w:docPartObj>
                                <w:docPartGallery w:val="Table of Contents"/>
                                <w:docPartUnique/>
                              </w:docPartObj>
                            </w:sdtPr>
                            <w:sdtEndPr>
                              <w:rPr>
                                <w:b w:val="0"/>
                                <w:bCs/>
                                <w:noProof/>
                              </w:rPr>
                            </w:sdtEndPr>
                            <w:sdtContent>
                              <w:p w:rsidR="008C5BFE" w:rsidRDefault="008C5BFE" w:rsidP="0002082E"/>
                              <w:p w:rsidR="008C5BFE" w:rsidRDefault="003F3304" w:rsidP="002537F1"/>
                            </w:sdtContent>
                          </w:sdt>
                          <w:p w:rsidR="008C5BFE" w:rsidRDefault="008C5BF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2.65pt;margin-top:14.2pt;width:68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" stroked="f">
                <v:textbox style="mso-fit-shape-to-text:t">
                  <w:txbxContent>
                    <w:p w:rsidR="008C5BFE" w:rsidRDefault="008C5BFE" w:rsidP="00B63DAB">
                      <w:pPr>
                        <w:pStyle w:val="Heading1"/>
                      </w:pPr>
                      <w:r>
                        <w:t>Table of Contents</w:t>
                      </w:r>
                    </w:p>
                    <w:p w:rsidR="008C5BFE" w:rsidRPr="00B63DAB" w:rsidRDefault="008C5BFE" w:rsidP="00B63DAB"/>
                    <w:p w:rsidR="008C5BFE" w:rsidRDefault="008C5BFE" w:rsidP="0002082E">
                      <w:r>
                        <w:t>BUDGETED REVENUE SOURCES IN FY 201</w:t>
                      </w:r>
                      <w:r w:rsidR="003705A6">
                        <w:t>8</w:t>
                      </w:r>
                      <w:r>
                        <w:t>-1</w:t>
                      </w:r>
                      <w:r w:rsidR="003705A6">
                        <w:t>9</w:t>
                      </w:r>
                      <w:r>
                        <w:tab/>
                        <w:t>3</w:t>
                      </w:r>
                    </w:p>
                    <w:p w:rsidR="008C5BFE" w:rsidRDefault="008C5BFE" w:rsidP="0002082E">
                      <w:r>
                        <w:t>BUDGETED REVENUE SOURCES IN FY 201</w:t>
                      </w:r>
                      <w:r w:rsidR="003705A6">
                        <w:t>8</w:t>
                      </w:r>
                      <w:r>
                        <w:t>-1</w:t>
                      </w:r>
                      <w:r w:rsidR="003705A6">
                        <w:t>9</w:t>
                      </w:r>
                      <w:r>
                        <w:t xml:space="preserve"> (excluding federal financial aid)</w:t>
                      </w:r>
                      <w:r>
                        <w:tab/>
                        <w:t>4</w:t>
                      </w:r>
                    </w:p>
                    <w:p w:rsidR="008C5BFE" w:rsidRDefault="008C5BFE" w:rsidP="0057480B">
                      <w:pPr>
                        <w:tabs>
                          <w:tab w:val="left" w:pos="2160"/>
                          <w:tab w:val="left" w:pos="7920"/>
                        </w:tabs>
                      </w:pPr>
                      <w:r>
                        <w:t>TUITION AND FEES</w:t>
                      </w:r>
                      <w:r>
                        <w:tab/>
                        <w:t>5</w:t>
                      </w:r>
                      <w:r>
                        <w:tab/>
                      </w:r>
                    </w:p>
                    <w:p w:rsidR="008C5BFE" w:rsidRDefault="008C5BFE" w:rsidP="0002082E">
                      <w:r>
                        <w:t>ACTUAL EXPENDITURES IN FY 201</w:t>
                      </w:r>
                      <w:r w:rsidR="003705A6">
                        <w:t>7</w:t>
                      </w:r>
                      <w:r>
                        <w:t>-1</w:t>
                      </w:r>
                      <w:r w:rsidR="003705A6">
                        <w:t>8</w:t>
                      </w:r>
                      <w:r>
                        <w:tab/>
                        <w:t>6</w:t>
                      </w:r>
                    </w:p>
                    <w:p w:rsidR="008C5BFE" w:rsidRDefault="008C5BFE" w:rsidP="0002082E">
                      <w:r>
                        <w:t>ACTUAL EXPENDITURES BY FUNCTIONAL CLASSIFICATION FY 201</w:t>
                      </w:r>
                      <w:r w:rsidR="003705A6">
                        <w:t>7</w:t>
                      </w:r>
                      <w:r>
                        <w:t>-1</w:t>
                      </w:r>
                      <w:r w:rsidR="003705A6">
                        <w:t>8</w:t>
                      </w:r>
                      <w:r>
                        <w:tab/>
                        <w:t>7</w:t>
                      </w:r>
                    </w:p>
                    <w:p w:rsidR="008C5BFE" w:rsidRDefault="008C5BFE" w:rsidP="0002082E">
                      <w:r>
                        <w:t>YEAR-END FUND BALANCES – 201</w:t>
                      </w:r>
                      <w:r w:rsidR="003705A6">
                        <w:t>7</w:t>
                      </w:r>
                      <w:r>
                        <w:t>-1</w:t>
                      </w:r>
                      <w:r w:rsidR="003705A6">
                        <w:t>8</w:t>
                      </w:r>
                      <w:r>
                        <w:tab/>
                        <w:t>8</w:t>
                      </w:r>
                    </w:p>
                    <w:p w:rsidR="008C5BFE" w:rsidRDefault="008C5BFE" w:rsidP="0002082E">
                      <w:r>
                        <w:t>FINANCIAL MANAGEMENT</w:t>
                      </w:r>
                      <w:r>
                        <w:tab/>
                        <w:t>9</w:t>
                      </w:r>
                    </w:p>
                    <w:p w:rsidR="008C5BFE" w:rsidRDefault="008C5BFE" w:rsidP="0002082E">
                      <w:r>
                        <w:t>FACULTY AND STAFF – FALL 201</w:t>
                      </w:r>
                      <w:r w:rsidR="003705A6">
                        <w:t>8</w:t>
                      </w:r>
                      <w:r>
                        <w:tab/>
                        <w:t>10</w:t>
                      </w:r>
                    </w:p>
                    <w:p w:rsidR="008C5BFE" w:rsidRDefault="008C5BFE" w:rsidP="0002082E">
                      <w:r>
                        <w:t>FACULTY SALARIES COMPARISON WITH UW SYSTEM COMPREHENSIVE CAMPUSES – 201</w:t>
                      </w:r>
                      <w:r w:rsidR="003705A6">
                        <w:t>7</w:t>
                      </w:r>
                      <w:r>
                        <w:t>-1</w:t>
                      </w:r>
                      <w:r w:rsidR="003705A6">
                        <w:t>8</w:t>
                      </w:r>
                      <w:r>
                        <w:tab/>
                        <w:t>11</w:t>
                      </w:r>
                    </w:p>
                    <w:sdt>
                      <w:sdtPr>
                        <w:rPr>
                          <w:b/>
                        </w:rPr>
                        <w:id w:val="2104380666"/>
                        <w:docPartObj>
                          <w:docPartGallery w:val="Table of Contents"/>
                          <w:docPartUnique/>
                        </w:docPartObj>
                      </w:sdtPr>
                      <w:sdtEndPr>
                        <w:rPr>
                          <w:b w:val="0"/>
                          <w:bCs/>
                          <w:noProof/>
                        </w:rPr>
                      </w:sdtEndPr>
                      <w:sdtContent>
                        <w:p w:rsidR="008C5BFE" w:rsidRDefault="008C5BFE" w:rsidP="0002082E"/>
                        <w:p w:rsidR="008C5BFE" w:rsidRDefault="003F3304" w:rsidP="002537F1"/>
                      </w:sdtContent>
                    </w:sdt>
                    <w:p w:rsidR="008C5BFE" w:rsidRDefault="008C5BFE"/>
                  </w:txbxContent>
                </v:textbox>
                <w10:wrap type="square"/>
              </v:shape>
            </w:pict>
          </mc:Fallback>
        </mc:AlternateContent>
      </w:r>
    </w:p>
    <w:p w:rsidR="002537F1" w:rsidRDefault="002537F1"/>
    <w:p w:rsidR="002537F1" w:rsidRDefault="002537F1"/>
    <w:p w:rsidR="007161B9" w:rsidRDefault="003660FF" w:rsidP="003660FF">
      <w:pPr>
        <w:jc w:val="right"/>
      </w:pPr>
      <w:r>
        <w:rPr>
          <w:noProof/>
        </w:rPr>
        <w:drawing>
          <wp:inline distT="0" distB="0" distL="0" distR="0" wp14:anchorId="1070C0AF" wp14:editId="509CB96A">
            <wp:extent cx="2860040" cy="287020"/>
            <wp:effectExtent l="0" t="0" r="0" b="0"/>
            <wp:docPr id="23" name="Picture 23" descr="hrztl-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ztl-wor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87020"/>
                    </a:xfrm>
                    <a:prstGeom prst="rect">
                      <a:avLst/>
                    </a:prstGeom>
                    <a:noFill/>
                    <a:ln>
                      <a:noFill/>
                    </a:ln>
                  </pic:spPr>
                </pic:pic>
              </a:graphicData>
            </a:graphic>
          </wp:inline>
        </w:drawing>
      </w:r>
    </w:p>
    <w:tbl>
      <w:tblPr>
        <w:tblStyle w:val="TableGrid"/>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976BF5" w:rsidTr="00BB0BFB">
        <w:tc>
          <w:tcPr>
            <w:tcW w:w="12950" w:type="dxa"/>
          </w:tcPr>
          <w:p w:rsidR="00976BF5" w:rsidRPr="0002082E" w:rsidRDefault="004C6540" w:rsidP="00976BF5">
            <w:pPr>
              <w:pStyle w:val="Heading1"/>
              <w:outlineLvl w:val="0"/>
            </w:pPr>
            <w:r w:rsidRPr="00DE0934">
              <w:rPr>
                <w:b/>
                <w:i/>
                <w:u w:val="single"/>
              </w:rPr>
              <w:lastRenderedPageBreak/>
              <w:t>BUDGETED</w:t>
            </w:r>
            <w:r>
              <w:t xml:space="preserve"> </w:t>
            </w:r>
            <w:r w:rsidR="00976BF5" w:rsidRPr="0002082E">
              <w:t xml:space="preserve">REVENUE SOURCES IN </w:t>
            </w:r>
            <w:r w:rsidR="00976BF5" w:rsidRPr="00A32798">
              <w:rPr>
                <w:color w:val="FF0000"/>
              </w:rPr>
              <w:t>FY 201</w:t>
            </w:r>
            <w:r w:rsidR="00B04969">
              <w:rPr>
                <w:color w:val="FF0000"/>
              </w:rPr>
              <w:t>8</w:t>
            </w:r>
            <w:r w:rsidR="00976BF5" w:rsidRPr="00A32798">
              <w:rPr>
                <w:color w:val="FF0000"/>
              </w:rPr>
              <w:t>-1</w:t>
            </w:r>
            <w:r w:rsidR="00B04969">
              <w:rPr>
                <w:color w:val="FF0000"/>
              </w:rPr>
              <w:t>9</w:t>
            </w:r>
          </w:p>
          <w:p w:rsidR="00976BF5" w:rsidRPr="007161B9" w:rsidRDefault="00976BF5" w:rsidP="00976BF5"/>
          <w:p w:rsidR="00976BF5" w:rsidRDefault="00976BF5" w:rsidP="0057480B">
            <w:pPr>
              <w:rPr>
                <w:sz w:val="24"/>
              </w:rPr>
            </w:pPr>
            <w:r w:rsidRPr="001C2D2E">
              <w:rPr>
                <w:sz w:val="24"/>
              </w:rPr>
              <w:t>UW-River Falls receives revenue from</w:t>
            </w:r>
            <w:r w:rsidR="007B1310">
              <w:rPr>
                <w:sz w:val="24"/>
              </w:rPr>
              <w:t xml:space="preserve"> three main sources for its $13</w:t>
            </w:r>
            <w:r w:rsidR="00DE2771">
              <w:rPr>
                <w:sz w:val="24"/>
              </w:rPr>
              <w:t>9</w:t>
            </w:r>
            <w:r w:rsidRPr="001C2D2E">
              <w:rPr>
                <w:sz w:val="24"/>
              </w:rPr>
              <w:t xml:space="preserve"> million </w:t>
            </w:r>
            <w:r w:rsidR="003B492B">
              <w:rPr>
                <w:sz w:val="24"/>
              </w:rPr>
              <w:t xml:space="preserve">annual </w:t>
            </w:r>
            <w:r w:rsidRPr="001C2D2E">
              <w:rPr>
                <w:sz w:val="24"/>
              </w:rPr>
              <w:t>budget.  The university is supported by state and federal government investments, tuition, and auxiliaries.</w:t>
            </w:r>
            <w:r w:rsidR="0057480B">
              <w:rPr>
                <w:sz w:val="24"/>
              </w:rPr>
              <w:t xml:space="preserve">  </w:t>
            </w:r>
            <w:r w:rsidR="00BB0BFB">
              <w:rPr>
                <w:sz w:val="24"/>
              </w:rPr>
              <w:t xml:space="preserve"> </w:t>
            </w:r>
            <w:r w:rsidRPr="0057480B">
              <w:rPr>
                <w:sz w:val="24"/>
              </w:rPr>
              <w:t xml:space="preserve">The largest amount, </w:t>
            </w:r>
            <w:r w:rsidR="007B1310">
              <w:rPr>
                <w:sz w:val="24"/>
              </w:rPr>
              <w:t>$3</w:t>
            </w:r>
            <w:r w:rsidR="00BB0BFB">
              <w:rPr>
                <w:sz w:val="24"/>
              </w:rPr>
              <w:t>7.4</w:t>
            </w:r>
            <w:r w:rsidR="007B1310">
              <w:rPr>
                <w:sz w:val="24"/>
              </w:rPr>
              <w:t xml:space="preserve"> million, or 2</w:t>
            </w:r>
            <w:r w:rsidR="00BB0BFB">
              <w:rPr>
                <w:sz w:val="24"/>
              </w:rPr>
              <w:t>7</w:t>
            </w:r>
            <w:r w:rsidRPr="0057480B">
              <w:rPr>
                <w:sz w:val="24"/>
              </w:rPr>
              <w:t xml:space="preserve"> percent is from auxiliary enterprises such as University Housing, University </w:t>
            </w:r>
            <w:r w:rsidR="00DF364C">
              <w:rPr>
                <w:sz w:val="24"/>
              </w:rPr>
              <w:t>Dining, University Center, and P</w:t>
            </w:r>
            <w:r w:rsidRPr="0057480B">
              <w:rPr>
                <w:sz w:val="24"/>
              </w:rPr>
              <w:t>arking.</w:t>
            </w:r>
          </w:p>
          <w:p w:rsidR="00BB0BFB" w:rsidRDefault="00BB0BFB" w:rsidP="0057480B">
            <w:pPr>
              <w:rPr>
                <w:sz w:val="24"/>
              </w:rPr>
            </w:pPr>
          </w:p>
          <w:p w:rsidR="00BB0BFB" w:rsidRPr="0057480B" w:rsidRDefault="00BB0BFB" w:rsidP="0057480B">
            <w:pPr>
              <w:rPr>
                <w:sz w:val="24"/>
              </w:rPr>
            </w:pPr>
            <w:r>
              <w:rPr>
                <w:noProof/>
              </w:rPr>
              <w:drawing>
                <wp:anchor distT="0" distB="0" distL="114300" distR="114300" simplePos="0" relativeHeight="251674624" behindDoc="0" locked="0" layoutInCell="1" allowOverlap="1" wp14:anchorId="58F89EBA">
                  <wp:simplePos x="0" y="0"/>
                  <wp:positionH relativeFrom="column">
                    <wp:posOffset>2000885</wp:posOffset>
                  </wp:positionH>
                  <wp:positionV relativeFrom="paragraph">
                    <wp:posOffset>156845</wp:posOffset>
                  </wp:positionV>
                  <wp:extent cx="5959475" cy="3914775"/>
                  <wp:effectExtent l="0" t="0" r="3175" b="9525"/>
                  <wp:wrapSquare wrapText="bothSides"/>
                  <wp:docPr id="4" name="Chart 4">
                    <a:extLst xmlns:a="http://schemas.openxmlformats.org/drawingml/2006/main">
                      <a:ext uri="{FF2B5EF4-FFF2-40B4-BE49-F238E27FC236}">
                        <a16:creationId xmlns:a16="http://schemas.microsoft.com/office/drawing/2014/main" id="{03C48AFF-25CB-4E60-B06A-C564C6DFD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1C2D2E">
              <w:rPr>
                <w:sz w:val="24"/>
              </w:rPr>
              <w:t xml:space="preserve">The </w:t>
            </w:r>
            <w:r>
              <w:rPr>
                <w:sz w:val="24"/>
              </w:rPr>
              <w:t>second-</w:t>
            </w:r>
            <w:r w:rsidRPr="001C2D2E">
              <w:rPr>
                <w:sz w:val="24"/>
              </w:rPr>
              <w:t>largest portion of the university’s budget, ap</w:t>
            </w:r>
            <w:r>
              <w:rPr>
                <w:sz w:val="24"/>
              </w:rPr>
              <w:t>proximately $35.6 million, or 26</w:t>
            </w:r>
            <w:r w:rsidRPr="001C2D2E">
              <w:rPr>
                <w:sz w:val="24"/>
              </w:rPr>
              <w:t xml:space="preserve"> percent, i</w:t>
            </w:r>
            <w:r>
              <w:rPr>
                <w:sz w:val="24"/>
              </w:rPr>
              <w:t>s from student tuition and fees.  An additional $3 million is budgeted from tuition balances.</w:t>
            </w:r>
          </w:p>
          <w:p w:rsidR="00976BF5" w:rsidRPr="001C2D2E" w:rsidRDefault="00976BF5" w:rsidP="0057480B">
            <w:pPr>
              <w:rPr>
                <w:sz w:val="24"/>
              </w:rPr>
            </w:pPr>
          </w:p>
          <w:p w:rsidR="00976BF5" w:rsidRPr="0057480B" w:rsidRDefault="00976BF5" w:rsidP="0057480B">
            <w:pPr>
              <w:rPr>
                <w:sz w:val="24"/>
              </w:rPr>
            </w:pPr>
            <w:r w:rsidRPr="0057480B">
              <w:rPr>
                <w:sz w:val="24"/>
              </w:rPr>
              <w:t>Revenue from the state government for the 201</w:t>
            </w:r>
            <w:r w:rsidR="00BB0BFB">
              <w:rPr>
                <w:sz w:val="24"/>
              </w:rPr>
              <w:t>8</w:t>
            </w:r>
            <w:r w:rsidRPr="0057480B">
              <w:rPr>
                <w:sz w:val="24"/>
              </w:rPr>
              <w:t>-1</w:t>
            </w:r>
            <w:r w:rsidR="00BB0BFB">
              <w:rPr>
                <w:sz w:val="24"/>
              </w:rPr>
              <w:t>9</w:t>
            </w:r>
            <w:r w:rsidRPr="0057480B">
              <w:rPr>
                <w:sz w:val="24"/>
              </w:rPr>
              <w:t xml:space="preserve"> fiscal y</w:t>
            </w:r>
            <w:r w:rsidR="007B1310">
              <w:rPr>
                <w:sz w:val="24"/>
              </w:rPr>
              <w:t>ear totaled $2</w:t>
            </w:r>
            <w:r w:rsidR="00BB0BFB">
              <w:rPr>
                <w:sz w:val="24"/>
              </w:rPr>
              <w:t xml:space="preserve">4.6 </w:t>
            </w:r>
            <w:r w:rsidR="007B1310">
              <w:rPr>
                <w:sz w:val="24"/>
              </w:rPr>
              <w:t>million, or 1</w:t>
            </w:r>
            <w:r w:rsidR="00BB0BFB">
              <w:rPr>
                <w:sz w:val="24"/>
              </w:rPr>
              <w:t>8</w:t>
            </w:r>
            <w:r w:rsidRPr="0057480B">
              <w:rPr>
                <w:sz w:val="24"/>
              </w:rPr>
              <w:t xml:space="preserve"> percent of the overall budget.  State revenue includes general program revenue ($1</w:t>
            </w:r>
            <w:r w:rsidR="00BB0BFB">
              <w:rPr>
                <w:sz w:val="24"/>
              </w:rPr>
              <w:t>4.1</w:t>
            </w:r>
            <w:r w:rsidRPr="0057480B">
              <w:rPr>
                <w:sz w:val="24"/>
              </w:rPr>
              <w:t xml:space="preserve"> million), over which the university has some discretion, and specific-purpose revenue ($</w:t>
            </w:r>
            <w:r w:rsidR="00BB0BFB">
              <w:rPr>
                <w:sz w:val="24"/>
              </w:rPr>
              <w:t>10.5</w:t>
            </w:r>
            <w:r w:rsidRPr="0057480B">
              <w:rPr>
                <w:sz w:val="24"/>
              </w:rPr>
              <w:t xml:space="preserve"> million), which goes to predetermine programs and services such as debt service and utilities.</w:t>
            </w:r>
          </w:p>
          <w:p w:rsidR="00976BF5" w:rsidRPr="001C2D2E" w:rsidRDefault="00976BF5" w:rsidP="00976BF5">
            <w:pPr>
              <w:jc w:val="center"/>
              <w:rPr>
                <w:sz w:val="24"/>
              </w:rPr>
            </w:pPr>
          </w:p>
          <w:p w:rsidR="00976BF5" w:rsidRPr="004C6540" w:rsidRDefault="00976BF5" w:rsidP="00976BF5">
            <w:pPr>
              <w:rPr>
                <w:sz w:val="24"/>
              </w:rPr>
            </w:pPr>
            <w:r w:rsidRPr="001C2D2E">
              <w:rPr>
                <w:sz w:val="24"/>
              </w:rPr>
              <w:t>Source: Redbook</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8F5E7B" w:rsidTr="009F1536">
        <w:tc>
          <w:tcPr>
            <w:tcW w:w="12950" w:type="dxa"/>
          </w:tcPr>
          <w:p w:rsidR="00772009" w:rsidRPr="00772009" w:rsidRDefault="005A1296" w:rsidP="00772009">
            <w:pPr>
              <w:pStyle w:val="Heading1"/>
              <w:outlineLvl w:val="0"/>
              <w:rPr>
                <w:color w:val="FF0000"/>
              </w:rPr>
            </w:pPr>
            <w:bookmarkStart w:id="3" w:name="_Toc513535044"/>
            <w:r w:rsidRPr="005A1296">
              <w:rPr>
                <w:i/>
              </w:rPr>
              <w:lastRenderedPageBreak/>
              <w:t>BUDGETED</w:t>
            </w:r>
            <w:r>
              <w:t xml:space="preserve"> </w:t>
            </w:r>
            <w:r w:rsidR="00DE0934">
              <w:t>REVENUE</w:t>
            </w:r>
            <w:r w:rsidR="008F5E7B">
              <w:t xml:space="preserve"> SOURCES</w:t>
            </w:r>
            <w:bookmarkEnd w:id="3"/>
            <w:r w:rsidR="008F5E7B">
              <w:t xml:space="preserve"> (</w:t>
            </w:r>
            <w:r w:rsidR="008F5E7B" w:rsidRPr="009F1F3D">
              <w:rPr>
                <w:b/>
                <w:i/>
              </w:rPr>
              <w:t>excluding</w:t>
            </w:r>
            <w:r w:rsidR="008F5E7B">
              <w:t xml:space="preserve"> financial aid received by students)</w:t>
            </w:r>
            <w:r>
              <w:t xml:space="preserve"> IN </w:t>
            </w:r>
            <w:r w:rsidRPr="005A1296">
              <w:rPr>
                <w:color w:val="FF0000"/>
              </w:rPr>
              <w:t>FY 201</w:t>
            </w:r>
            <w:r w:rsidR="00772009">
              <w:rPr>
                <w:color w:val="FF0000"/>
              </w:rPr>
              <w:t>8</w:t>
            </w:r>
            <w:r w:rsidRPr="005A1296">
              <w:rPr>
                <w:color w:val="FF0000"/>
              </w:rPr>
              <w:t>-1</w:t>
            </w:r>
            <w:r w:rsidR="00772009">
              <w:rPr>
                <w:color w:val="FF0000"/>
              </w:rPr>
              <w:t>9</w:t>
            </w:r>
          </w:p>
          <w:p w:rsidR="008F5E7B" w:rsidRPr="008F5E7B" w:rsidRDefault="008F5E7B" w:rsidP="008F5E7B"/>
          <w:p w:rsidR="008F5E7B" w:rsidRPr="001C2D2E" w:rsidRDefault="008F5E7B" w:rsidP="008F5E7B">
            <w:pPr>
              <w:rPr>
                <w:noProof/>
                <w:sz w:val="24"/>
              </w:rPr>
            </w:pPr>
            <w:r w:rsidRPr="001C2D2E">
              <w:rPr>
                <w:sz w:val="24"/>
              </w:rPr>
              <w:t>UW-River Falls’ funding sources have shifted over the decades.  As the chart indicates, the amount of support we receive in state funds relative to our overall budget has declined, and the university has become increasingly reliant on tuition and other payments from students.</w:t>
            </w:r>
            <w:r w:rsidRPr="001C2D2E">
              <w:rPr>
                <w:noProof/>
                <w:sz w:val="24"/>
              </w:rPr>
              <w:t xml:space="preserve"> </w:t>
            </w:r>
          </w:p>
          <w:p w:rsidR="008F5E7B" w:rsidRPr="001C2D2E" w:rsidRDefault="009F1536" w:rsidP="008F5E7B">
            <w:pPr>
              <w:rPr>
                <w:sz w:val="24"/>
              </w:rPr>
            </w:pPr>
            <w:r>
              <w:rPr>
                <w:noProof/>
              </w:rPr>
              <w:drawing>
                <wp:anchor distT="0" distB="0" distL="114300" distR="114300" simplePos="0" relativeHeight="251675648" behindDoc="0" locked="0" layoutInCell="1" allowOverlap="1" wp14:anchorId="36DE130B">
                  <wp:simplePos x="0" y="0"/>
                  <wp:positionH relativeFrom="column">
                    <wp:posOffset>230505</wp:posOffset>
                  </wp:positionH>
                  <wp:positionV relativeFrom="paragraph">
                    <wp:posOffset>184150</wp:posOffset>
                  </wp:positionV>
                  <wp:extent cx="5669280" cy="4463415"/>
                  <wp:effectExtent l="19050" t="19050" r="26670" b="13335"/>
                  <wp:wrapSquare wrapText="bothSides"/>
                  <wp:docPr id="5" name="Chart 5">
                    <a:extLst xmlns:a="http://schemas.openxmlformats.org/drawingml/2006/main">
                      <a:ext uri="{FF2B5EF4-FFF2-40B4-BE49-F238E27FC236}">
                        <a16:creationId xmlns:a16="http://schemas.microsoft.com/office/drawing/2014/main" id="{8E2A2FE1-BD5F-4C3C-B2BC-38D9D8603B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8F5E7B" w:rsidRDefault="009F1F3D" w:rsidP="009F1F3D">
            <w:pPr>
              <w:pStyle w:val="ListParagraph"/>
              <w:numPr>
                <w:ilvl w:val="0"/>
                <w:numId w:val="2"/>
              </w:numPr>
              <w:ind w:left="360"/>
              <w:rPr>
                <w:sz w:val="24"/>
              </w:rPr>
            </w:pPr>
            <w:r w:rsidRPr="009F1F3D">
              <w:rPr>
                <w:sz w:val="24"/>
              </w:rPr>
              <w:t xml:space="preserve">When reviewing the budget </w:t>
            </w:r>
            <w:r w:rsidRPr="009F1F3D">
              <w:rPr>
                <w:i/>
                <w:sz w:val="24"/>
                <w:u w:val="single"/>
              </w:rPr>
              <w:t>with federal financial aid excluded</w:t>
            </w:r>
            <w:r w:rsidRPr="009F1F3D">
              <w:rPr>
                <w:sz w:val="24"/>
              </w:rPr>
              <w:t xml:space="preserve">:  </w:t>
            </w:r>
            <w:r>
              <w:rPr>
                <w:sz w:val="24"/>
              </w:rPr>
              <w:t>In fiscal year 2000-</w:t>
            </w:r>
            <w:r w:rsidR="008F5E7B" w:rsidRPr="009F1F3D">
              <w:rPr>
                <w:sz w:val="24"/>
              </w:rPr>
              <w:t>01, state supp</w:t>
            </w:r>
            <w:r>
              <w:rPr>
                <w:sz w:val="24"/>
              </w:rPr>
              <w:t xml:space="preserve">ort was 48 percent of the </w:t>
            </w:r>
            <w:r w:rsidR="008F5E7B" w:rsidRPr="009F1F3D">
              <w:rPr>
                <w:sz w:val="24"/>
              </w:rPr>
              <w:t xml:space="preserve">budget.  </w:t>
            </w:r>
            <w:r w:rsidRPr="009F1F3D">
              <w:rPr>
                <w:sz w:val="24"/>
              </w:rPr>
              <w:t>In fiscal year 201</w:t>
            </w:r>
            <w:r w:rsidR="009F1536">
              <w:rPr>
                <w:sz w:val="24"/>
              </w:rPr>
              <w:t>-19</w:t>
            </w:r>
            <w:r w:rsidRPr="009F1F3D">
              <w:rPr>
                <w:sz w:val="24"/>
              </w:rPr>
              <w:t>, t</w:t>
            </w:r>
            <w:r w:rsidR="008F5E7B" w:rsidRPr="009F1F3D">
              <w:rPr>
                <w:sz w:val="24"/>
              </w:rPr>
              <w:t>he level of state support had declined to 2</w:t>
            </w:r>
            <w:r w:rsidR="009F1536">
              <w:rPr>
                <w:sz w:val="24"/>
              </w:rPr>
              <w:t>3</w:t>
            </w:r>
            <w:r w:rsidR="008F5E7B" w:rsidRPr="009F1F3D">
              <w:rPr>
                <w:sz w:val="24"/>
              </w:rPr>
              <w:t xml:space="preserve"> per</w:t>
            </w:r>
            <w:r>
              <w:rPr>
                <w:sz w:val="24"/>
              </w:rPr>
              <w:t>cent of the university’s budget.</w:t>
            </w:r>
          </w:p>
          <w:p w:rsidR="009F1F3D" w:rsidRPr="009F1F3D" w:rsidRDefault="009F1F3D" w:rsidP="009F1F3D">
            <w:pPr>
              <w:rPr>
                <w:sz w:val="24"/>
              </w:rPr>
            </w:pPr>
          </w:p>
          <w:p w:rsidR="008F5E7B" w:rsidRPr="001C2D2E" w:rsidRDefault="008F5E7B" w:rsidP="008F5E7B">
            <w:pPr>
              <w:pStyle w:val="ListParagraph"/>
              <w:numPr>
                <w:ilvl w:val="0"/>
                <w:numId w:val="2"/>
              </w:numPr>
              <w:ind w:left="360"/>
              <w:rPr>
                <w:sz w:val="24"/>
              </w:rPr>
            </w:pPr>
            <w:r w:rsidRPr="001C2D2E">
              <w:rPr>
                <w:sz w:val="24"/>
              </w:rPr>
              <w:t>During the same time frame, reliance on tuition increase from 2</w:t>
            </w:r>
            <w:r w:rsidR="009F1F3D">
              <w:rPr>
                <w:sz w:val="24"/>
              </w:rPr>
              <w:t xml:space="preserve">2 percent in fiscal year 2000-01 to </w:t>
            </w:r>
            <w:r w:rsidR="009F1536">
              <w:rPr>
                <w:sz w:val="24"/>
              </w:rPr>
              <w:t>36</w:t>
            </w:r>
            <w:r w:rsidR="009F1F3D">
              <w:rPr>
                <w:sz w:val="24"/>
              </w:rPr>
              <w:t xml:space="preserve"> percent of the </w:t>
            </w:r>
            <w:r w:rsidRPr="001C2D2E">
              <w:rPr>
                <w:sz w:val="24"/>
              </w:rPr>
              <w:t>budget.</w:t>
            </w:r>
          </w:p>
          <w:p w:rsidR="008F5E7B" w:rsidRPr="001C2D2E" w:rsidRDefault="008F5E7B" w:rsidP="008F5E7B">
            <w:pPr>
              <w:pStyle w:val="ListParagraph"/>
              <w:ind w:left="360" w:hanging="360"/>
              <w:rPr>
                <w:sz w:val="24"/>
              </w:rPr>
            </w:pPr>
          </w:p>
          <w:p w:rsidR="008F5E7B" w:rsidRPr="001C2D2E" w:rsidRDefault="008F5E7B" w:rsidP="008F5E7B">
            <w:pPr>
              <w:pStyle w:val="ListParagraph"/>
              <w:numPr>
                <w:ilvl w:val="0"/>
                <w:numId w:val="2"/>
              </w:numPr>
              <w:ind w:left="360"/>
              <w:rPr>
                <w:sz w:val="24"/>
              </w:rPr>
            </w:pPr>
            <w:r w:rsidRPr="001C2D2E">
              <w:rPr>
                <w:sz w:val="24"/>
              </w:rPr>
              <w:t>Revenue paid by students for auxiliary and other services increased from 25 percent to 3</w:t>
            </w:r>
            <w:r w:rsidR="009F1536">
              <w:rPr>
                <w:sz w:val="24"/>
              </w:rPr>
              <w:t>9</w:t>
            </w:r>
            <w:r w:rsidRPr="001C2D2E">
              <w:rPr>
                <w:sz w:val="24"/>
              </w:rPr>
              <w:t xml:space="preserve"> percent in the same time period.</w:t>
            </w:r>
          </w:p>
          <w:p w:rsidR="008F5E7B" w:rsidRPr="001C2D2E" w:rsidRDefault="008F5E7B" w:rsidP="008F5E7B">
            <w:pPr>
              <w:rPr>
                <w:sz w:val="24"/>
              </w:rPr>
            </w:pPr>
          </w:p>
          <w:p w:rsidR="008F5E7B" w:rsidRPr="001C2D2E" w:rsidRDefault="008F5E7B" w:rsidP="008F5E7B">
            <w:pPr>
              <w:rPr>
                <w:sz w:val="24"/>
              </w:rPr>
            </w:pPr>
          </w:p>
          <w:p w:rsidR="008F5E7B" w:rsidRPr="001C2D2E" w:rsidRDefault="008F5E7B" w:rsidP="008F5E7B">
            <w:pPr>
              <w:rPr>
                <w:sz w:val="24"/>
              </w:rPr>
            </w:pPr>
            <w:r w:rsidRPr="001C2D2E">
              <w:rPr>
                <w:sz w:val="24"/>
              </w:rPr>
              <w:t>Source: Redbook</w:t>
            </w:r>
          </w:p>
          <w:p w:rsidR="008F5E7B" w:rsidRDefault="008F5E7B" w:rsidP="008F5E7B">
            <w:pPr>
              <w:pStyle w:val="ListParagraph"/>
              <w:ind w:left="0"/>
            </w:pPr>
          </w:p>
          <w:p w:rsidR="0032417F" w:rsidRDefault="008F5E7B" w:rsidP="008F5E7B">
            <w: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24"/>
            </w:tblGrid>
            <w:tr w:rsidR="0032417F" w:rsidTr="00CF5CD8">
              <w:trPr>
                <w:trHeight w:val="80"/>
              </w:trPr>
              <w:tc>
                <w:tcPr>
                  <w:tcW w:w="12724" w:type="dxa"/>
                  <w:tcBorders>
                    <w:top w:val="nil"/>
                    <w:left w:val="nil"/>
                    <w:bottom w:val="nil"/>
                    <w:right w:val="nil"/>
                  </w:tcBorders>
                </w:tcPr>
                <w:p w:rsidR="0032417F" w:rsidRPr="006F2BDC" w:rsidRDefault="0032417F" w:rsidP="0032417F">
                  <w:pPr>
                    <w:pStyle w:val="Heading1"/>
                    <w:outlineLvl w:val="0"/>
                  </w:pPr>
                  <w:bookmarkStart w:id="4" w:name="_Toc513535045"/>
                  <w:r>
                    <w:lastRenderedPageBreak/>
                    <w:t>TUITION AND FEES</w:t>
                  </w:r>
                  <w:bookmarkEnd w:id="4"/>
                </w:p>
                <w:p w:rsidR="0032417F" w:rsidRDefault="0032417F" w:rsidP="0032417F">
                  <w:pPr>
                    <w:pStyle w:val="ListParagraph"/>
                    <w:ind w:left="0"/>
                  </w:pPr>
                </w:p>
                <w:p w:rsidR="0032417F" w:rsidRPr="001C2D2E" w:rsidRDefault="0032417F" w:rsidP="0032417F">
                  <w:pPr>
                    <w:pStyle w:val="ListParagraph"/>
                    <w:ind w:left="0"/>
                    <w:rPr>
                      <w:rFonts w:cstheme="minorHAnsi"/>
                      <w:sz w:val="24"/>
                      <w:szCs w:val="24"/>
                    </w:rPr>
                  </w:pPr>
                  <w:r w:rsidRPr="001C2D2E">
                    <w:rPr>
                      <w:rFonts w:cstheme="minorHAnsi"/>
                      <w:sz w:val="24"/>
                      <w:szCs w:val="24"/>
                    </w:rPr>
                    <w:t>Tuition and Fees are part of the overall cost of attending UW-River Falls.  Tuition for in-state undergraduates enrolled at UW System campuses has been frozen since 2013.</w:t>
                  </w:r>
                </w:p>
                <w:p w:rsidR="0032417F" w:rsidRPr="001C2D2E" w:rsidRDefault="00CF5CD8" w:rsidP="0032417F">
                  <w:pPr>
                    <w:pStyle w:val="ListParagraph"/>
                    <w:ind w:left="0"/>
                    <w:rPr>
                      <w:rFonts w:cstheme="minorHAnsi"/>
                      <w:sz w:val="24"/>
                      <w:szCs w:val="24"/>
                    </w:rPr>
                  </w:pPr>
                  <w:r>
                    <w:rPr>
                      <w:noProof/>
                    </w:rPr>
                    <w:drawing>
                      <wp:anchor distT="0" distB="0" distL="114300" distR="114300" simplePos="0" relativeHeight="251676672" behindDoc="0" locked="0" layoutInCell="1" allowOverlap="1" wp14:anchorId="12A0F00D">
                        <wp:simplePos x="0" y="0"/>
                        <wp:positionH relativeFrom="column">
                          <wp:posOffset>3129280</wp:posOffset>
                        </wp:positionH>
                        <wp:positionV relativeFrom="paragraph">
                          <wp:posOffset>162560</wp:posOffset>
                        </wp:positionV>
                        <wp:extent cx="4870450" cy="3557270"/>
                        <wp:effectExtent l="19050" t="19050" r="25400" b="24130"/>
                        <wp:wrapSquare wrapText="bothSides"/>
                        <wp:docPr id="7" name="Chart 7">
                          <a:extLst xmlns:a="http://schemas.openxmlformats.org/drawingml/2006/main">
                            <a:ext uri="{FF2B5EF4-FFF2-40B4-BE49-F238E27FC236}">
                              <a16:creationId xmlns:a16="http://schemas.microsoft.com/office/drawing/2014/main" id="{20DAD773-7D0B-4FB4-B7B0-A07118BFBF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32417F" w:rsidRPr="001C2D2E" w:rsidRDefault="00FF25DC" w:rsidP="0032417F">
                  <w:pPr>
                    <w:pStyle w:val="ListParagraph"/>
                    <w:ind w:left="0"/>
                    <w:rPr>
                      <w:rFonts w:cstheme="minorHAnsi"/>
                      <w:sz w:val="24"/>
                      <w:szCs w:val="24"/>
                    </w:rPr>
                  </w:pPr>
                  <w:r>
                    <w:rPr>
                      <w:rFonts w:cstheme="minorHAnsi"/>
                      <w:sz w:val="24"/>
                      <w:szCs w:val="24"/>
                    </w:rPr>
                    <w:t>FY 20</w:t>
                  </w:r>
                  <w:r w:rsidR="0032417F" w:rsidRPr="001C2D2E">
                    <w:rPr>
                      <w:rFonts w:cstheme="minorHAnsi"/>
                      <w:sz w:val="24"/>
                      <w:szCs w:val="24"/>
                    </w:rPr>
                    <w:t>1</w:t>
                  </w:r>
                  <w:r w:rsidR="00101B92">
                    <w:rPr>
                      <w:rFonts w:cstheme="minorHAnsi"/>
                      <w:sz w:val="24"/>
                      <w:szCs w:val="24"/>
                    </w:rPr>
                    <w:t>7</w:t>
                  </w:r>
                  <w:r w:rsidR="0032417F" w:rsidRPr="001C2D2E">
                    <w:rPr>
                      <w:rFonts w:cstheme="minorHAnsi"/>
                      <w:sz w:val="24"/>
                      <w:szCs w:val="24"/>
                    </w:rPr>
                    <w:t>-1</w:t>
                  </w:r>
                  <w:r w:rsidR="00101B92">
                    <w:rPr>
                      <w:rFonts w:cstheme="minorHAnsi"/>
                      <w:sz w:val="24"/>
                      <w:szCs w:val="24"/>
                    </w:rPr>
                    <w:t>8</w:t>
                  </w:r>
                  <w:r w:rsidR="0032417F" w:rsidRPr="001C2D2E">
                    <w:rPr>
                      <w:rFonts w:cstheme="minorHAnsi"/>
                      <w:sz w:val="24"/>
                      <w:szCs w:val="24"/>
                    </w:rPr>
                    <w:t xml:space="preserve"> Academic Year Tuition &amp; Required Fees</w:t>
                  </w:r>
                  <w:r>
                    <w:rPr>
                      <w:rFonts w:cstheme="minorHAnsi"/>
                      <w:sz w:val="24"/>
                      <w:szCs w:val="24"/>
                    </w:rPr>
                    <w:t xml:space="preserve"> </w:t>
                  </w:r>
                  <w:r w:rsidR="0032417F" w:rsidRPr="001C2D2E">
                    <w:rPr>
                      <w:rFonts w:cstheme="minorHAnsi"/>
                      <w:sz w:val="24"/>
                      <w:szCs w:val="24"/>
                    </w:rPr>
                    <w:t>(source: 201</w:t>
                  </w:r>
                  <w:r w:rsidR="00101B92">
                    <w:rPr>
                      <w:rFonts w:cstheme="minorHAnsi"/>
                      <w:sz w:val="24"/>
                      <w:szCs w:val="24"/>
                    </w:rPr>
                    <w:t>7</w:t>
                  </w:r>
                  <w:r w:rsidR="0032417F" w:rsidRPr="001C2D2E">
                    <w:rPr>
                      <w:rFonts w:cstheme="minorHAnsi"/>
                      <w:sz w:val="24"/>
                      <w:szCs w:val="24"/>
                    </w:rPr>
                    <w:t>-1</w:t>
                  </w:r>
                  <w:r w:rsidR="00101B92">
                    <w:rPr>
                      <w:rFonts w:cstheme="minorHAnsi"/>
                      <w:sz w:val="24"/>
                      <w:szCs w:val="24"/>
                    </w:rPr>
                    <w:t>8</w:t>
                  </w:r>
                  <w:r w:rsidR="0032417F" w:rsidRPr="001C2D2E">
                    <w:rPr>
                      <w:rFonts w:cstheme="minorHAnsi"/>
                      <w:sz w:val="24"/>
                      <w:szCs w:val="24"/>
                    </w:rPr>
                    <w:t xml:space="preserve"> UW System Fact Book)</w:t>
                  </w:r>
                </w:p>
                <w:p w:rsidR="0032417F" w:rsidRPr="001C2D2E" w:rsidRDefault="0032417F" w:rsidP="0032417F">
                  <w:pPr>
                    <w:pStyle w:val="ListParagraph"/>
                    <w:ind w:left="0"/>
                    <w:rPr>
                      <w:rFonts w:cstheme="minorHAnsi"/>
                      <w:sz w:val="24"/>
                      <w:szCs w:val="24"/>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0"/>
                    <w:gridCol w:w="1027"/>
                    <w:gridCol w:w="766"/>
                  </w:tblGrid>
                  <w:tr w:rsidR="0032417F" w:rsidRPr="001C2D2E" w:rsidTr="001C2D2E">
                    <w:tc>
                      <w:tcPr>
                        <w:tcW w:w="1590" w:type="dxa"/>
                      </w:tcPr>
                      <w:p w:rsidR="0032417F" w:rsidRPr="001C2D2E" w:rsidRDefault="0032417F" w:rsidP="0032417F">
                        <w:pPr>
                          <w:pStyle w:val="ListParagraph"/>
                          <w:ind w:left="0"/>
                          <w:rPr>
                            <w:rFonts w:cstheme="minorHAnsi"/>
                            <w:b/>
                            <w:sz w:val="24"/>
                            <w:szCs w:val="24"/>
                          </w:rPr>
                        </w:pPr>
                        <w:r w:rsidRPr="001C2D2E">
                          <w:rPr>
                            <w:rFonts w:cstheme="minorHAnsi"/>
                            <w:b/>
                            <w:sz w:val="24"/>
                            <w:szCs w:val="24"/>
                          </w:rPr>
                          <w:t>UW Campus</w:t>
                        </w:r>
                      </w:p>
                    </w:tc>
                    <w:tc>
                      <w:tcPr>
                        <w:tcW w:w="896" w:type="dxa"/>
                      </w:tcPr>
                      <w:p w:rsidR="0032417F" w:rsidRPr="001C2D2E" w:rsidRDefault="0032417F" w:rsidP="0032417F">
                        <w:pPr>
                          <w:pStyle w:val="ListParagraph"/>
                          <w:ind w:left="0"/>
                          <w:rPr>
                            <w:rFonts w:cstheme="minorHAnsi"/>
                            <w:b/>
                            <w:sz w:val="24"/>
                            <w:szCs w:val="24"/>
                          </w:rPr>
                        </w:pPr>
                        <w:r w:rsidRPr="001C2D2E">
                          <w:rPr>
                            <w:rFonts w:cstheme="minorHAnsi"/>
                            <w:b/>
                            <w:sz w:val="24"/>
                            <w:szCs w:val="24"/>
                          </w:rPr>
                          <w:t>Amount</w:t>
                        </w:r>
                      </w:p>
                    </w:tc>
                    <w:tc>
                      <w:tcPr>
                        <w:tcW w:w="766" w:type="dxa"/>
                      </w:tcPr>
                      <w:p w:rsidR="0032417F" w:rsidRPr="001C2D2E" w:rsidRDefault="0032417F" w:rsidP="0032417F">
                        <w:pPr>
                          <w:pStyle w:val="ListParagraph"/>
                          <w:ind w:left="0"/>
                          <w:rPr>
                            <w:rFonts w:cstheme="minorHAnsi"/>
                            <w:b/>
                            <w:sz w:val="24"/>
                            <w:szCs w:val="24"/>
                          </w:rPr>
                        </w:pPr>
                        <w:r w:rsidRPr="001C2D2E">
                          <w:rPr>
                            <w:rFonts w:cstheme="minorHAnsi"/>
                            <w:b/>
                            <w:sz w:val="24"/>
                            <w:szCs w:val="24"/>
                          </w:rPr>
                          <w:t>Rank</w:t>
                        </w:r>
                      </w:p>
                    </w:tc>
                  </w:tr>
                  <w:tr w:rsidR="004B0C47" w:rsidRPr="001C2D2E" w:rsidTr="001C2D2E">
                    <w:tc>
                      <w:tcPr>
                        <w:tcW w:w="1590" w:type="dxa"/>
                      </w:tcPr>
                      <w:p w:rsidR="004B0C47" w:rsidRPr="001C2D2E" w:rsidRDefault="004B0C47" w:rsidP="0032417F">
                        <w:pPr>
                          <w:pStyle w:val="ListParagraph"/>
                          <w:ind w:left="0"/>
                          <w:rPr>
                            <w:rFonts w:cstheme="minorHAnsi"/>
                            <w:sz w:val="24"/>
                            <w:szCs w:val="24"/>
                          </w:rPr>
                        </w:pPr>
                        <w:r>
                          <w:rPr>
                            <w:rFonts w:cstheme="minorHAnsi"/>
                            <w:sz w:val="24"/>
                            <w:szCs w:val="24"/>
                          </w:rPr>
                          <w:t>Madison</w:t>
                        </w:r>
                      </w:p>
                    </w:tc>
                    <w:tc>
                      <w:tcPr>
                        <w:tcW w:w="896" w:type="dxa"/>
                      </w:tcPr>
                      <w:p w:rsidR="004B0C47" w:rsidRPr="001C2D2E" w:rsidRDefault="004B0C47" w:rsidP="0032417F">
                        <w:pPr>
                          <w:pStyle w:val="ListParagraph"/>
                          <w:ind w:left="0"/>
                          <w:rPr>
                            <w:rFonts w:cstheme="minorHAnsi"/>
                            <w:sz w:val="24"/>
                            <w:szCs w:val="24"/>
                          </w:rPr>
                        </w:pPr>
                        <w:r>
                          <w:rPr>
                            <w:rFonts w:cstheme="minorHAnsi"/>
                            <w:sz w:val="24"/>
                            <w:szCs w:val="24"/>
                          </w:rPr>
                          <w:t>$10,</w:t>
                        </w:r>
                        <w:r w:rsidR="00AD4DF9">
                          <w:rPr>
                            <w:rFonts w:cstheme="minorHAnsi"/>
                            <w:sz w:val="24"/>
                            <w:szCs w:val="24"/>
                          </w:rPr>
                          <w:t>533</w:t>
                        </w:r>
                      </w:p>
                    </w:tc>
                    <w:tc>
                      <w:tcPr>
                        <w:tcW w:w="766" w:type="dxa"/>
                      </w:tcPr>
                      <w:p w:rsidR="004B0C47" w:rsidRPr="001C2D2E" w:rsidRDefault="004B0C47" w:rsidP="0032417F">
                        <w:pPr>
                          <w:pStyle w:val="ListParagraph"/>
                          <w:ind w:left="0"/>
                          <w:rPr>
                            <w:rFonts w:cstheme="minorHAnsi"/>
                            <w:sz w:val="24"/>
                            <w:szCs w:val="24"/>
                          </w:rPr>
                        </w:pPr>
                        <w:r>
                          <w:rPr>
                            <w:rFonts w:cstheme="minorHAnsi"/>
                            <w:sz w:val="24"/>
                            <w:szCs w:val="24"/>
                          </w:rPr>
                          <w:t>1</w:t>
                        </w:r>
                      </w:p>
                    </w:tc>
                  </w:tr>
                  <w:tr w:rsidR="004B0C47" w:rsidRPr="001C2D2E" w:rsidTr="001C2D2E">
                    <w:tc>
                      <w:tcPr>
                        <w:tcW w:w="1590" w:type="dxa"/>
                      </w:tcPr>
                      <w:p w:rsidR="004B0C47" w:rsidRPr="001C2D2E" w:rsidRDefault="004B0C47" w:rsidP="0032417F">
                        <w:pPr>
                          <w:pStyle w:val="ListParagraph"/>
                          <w:ind w:left="0"/>
                          <w:rPr>
                            <w:rFonts w:cstheme="minorHAnsi"/>
                            <w:sz w:val="24"/>
                            <w:szCs w:val="24"/>
                          </w:rPr>
                        </w:pPr>
                        <w:r>
                          <w:rPr>
                            <w:rFonts w:cstheme="minorHAnsi"/>
                            <w:sz w:val="24"/>
                            <w:szCs w:val="24"/>
                          </w:rPr>
                          <w:t>Milwaukee</w:t>
                        </w:r>
                      </w:p>
                    </w:tc>
                    <w:tc>
                      <w:tcPr>
                        <w:tcW w:w="896" w:type="dxa"/>
                      </w:tcPr>
                      <w:p w:rsidR="004B0C47" w:rsidRPr="001C2D2E" w:rsidRDefault="004B0C47" w:rsidP="0032417F">
                        <w:pPr>
                          <w:pStyle w:val="ListParagraph"/>
                          <w:ind w:left="0"/>
                          <w:rPr>
                            <w:rFonts w:cstheme="minorHAnsi"/>
                            <w:sz w:val="24"/>
                            <w:szCs w:val="24"/>
                          </w:rPr>
                        </w:pPr>
                        <w:r>
                          <w:rPr>
                            <w:rFonts w:cstheme="minorHAnsi"/>
                            <w:sz w:val="24"/>
                            <w:szCs w:val="24"/>
                          </w:rPr>
                          <w:t>$9,</w:t>
                        </w:r>
                        <w:r w:rsidR="00AD4DF9">
                          <w:rPr>
                            <w:rFonts w:cstheme="minorHAnsi"/>
                            <w:sz w:val="24"/>
                            <w:szCs w:val="24"/>
                          </w:rPr>
                          <w:t>565</w:t>
                        </w:r>
                      </w:p>
                    </w:tc>
                    <w:tc>
                      <w:tcPr>
                        <w:tcW w:w="766" w:type="dxa"/>
                      </w:tcPr>
                      <w:p w:rsidR="004B0C47" w:rsidRPr="001C2D2E" w:rsidRDefault="004B0C47" w:rsidP="0032417F">
                        <w:pPr>
                          <w:pStyle w:val="ListParagraph"/>
                          <w:ind w:left="0"/>
                          <w:rPr>
                            <w:rFonts w:cstheme="minorHAnsi"/>
                            <w:sz w:val="24"/>
                            <w:szCs w:val="24"/>
                          </w:rPr>
                        </w:pPr>
                        <w:r>
                          <w:rPr>
                            <w:rFonts w:cstheme="minorHAnsi"/>
                            <w:sz w:val="24"/>
                            <w:szCs w:val="24"/>
                          </w:rPr>
                          <w:t>2</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La Crosse</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$9,09</w:t>
                        </w:r>
                        <w:r w:rsidR="00AD4DF9">
                          <w:rPr>
                            <w:rFonts w:cstheme="minorHAnsi"/>
                            <w:sz w:val="24"/>
                            <w:szCs w:val="24"/>
                          </w:rPr>
                          <w:t>6</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3</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Eau Claire</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$8,81</w:t>
                        </w:r>
                        <w:r w:rsidR="00AD4DF9">
                          <w:rPr>
                            <w:rFonts w:cstheme="minorHAnsi"/>
                            <w:sz w:val="24"/>
                            <w:szCs w:val="24"/>
                          </w:rPr>
                          <w:t>6</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4</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Stevens Point</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$8,</w:t>
                        </w:r>
                        <w:r w:rsidR="00AD4DF9">
                          <w:rPr>
                            <w:rFonts w:cstheme="minorHAnsi"/>
                            <w:sz w:val="24"/>
                            <w:szCs w:val="24"/>
                          </w:rPr>
                          <w:t>209</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5</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Superior</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$8,</w:t>
                        </w:r>
                        <w:r w:rsidR="00AD4DF9">
                          <w:rPr>
                            <w:rFonts w:cstheme="minorHAnsi"/>
                            <w:sz w:val="24"/>
                            <w:szCs w:val="24"/>
                          </w:rPr>
                          <w:t>109</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6</w:t>
                        </w:r>
                      </w:p>
                    </w:tc>
                  </w:tr>
                  <w:tr w:rsidR="0032417F" w:rsidRPr="001C2D2E" w:rsidTr="001C2D2E">
                    <w:tc>
                      <w:tcPr>
                        <w:tcW w:w="1590" w:type="dxa"/>
                      </w:tcPr>
                      <w:p w:rsidR="0032417F" w:rsidRPr="00F70C66" w:rsidRDefault="0032417F" w:rsidP="0032417F">
                        <w:pPr>
                          <w:pStyle w:val="ListParagraph"/>
                          <w:ind w:left="0"/>
                          <w:rPr>
                            <w:rFonts w:cstheme="minorHAnsi"/>
                            <w:b/>
                            <w:color w:val="C00000"/>
                            <w:sz w:val="24"/>
                            <w:szCs w:val="24"/>
                          </w:rPr>
                        </w:pPr>
                        <w:r w:rsidRPr="00F70C66">
                          <w:rPr>
                            <w:rFonts w:cstheme="minorHAnsi"/>
                            <w:b/>
                            <w:color w:val="C00000"/>
                            <w:sz w:val="24"/>
                            <w:szCs w:val="24"/>
                          </w:rPr>
                          <w:t>River Falls</w:t>
                        </w:r>
                      </w:p>
                    </w:tc>
                    <w:tc>
                      <w:tcPr>
                        <w:tcW w:w="896" w:type="dxa"/>
                      </w:tcPr>
                      <w:p w:rsidR="0032417F" w:rsidRPr="00F70C66" w:rsidRDefault="0032417F" w:rsidP="0032417F">
                        <w:pPr>
                          <w:pStyle w:val="ListParagraph"/>
                          <w:ind w:left="0"/>
                          <w:rPr>
                            <w:rFonts w:cstheme="minorHAnsi"/>
                            <w:b/>
                            <w:color w:val="C00000"/>
                            <w:sz w:val="24"/>
                            <w:szCs w:val="24"/>
                          </w:rPr>
                        </w:pPr>
                        <w:r w:rsidRPr="00F70C66">
                          <w:rPr>
                            <w:rFonts w:cstheme="minorHAnsi"/>
                            <w:b/>
                            <w:color w:val="C00000"/>
                            <w:sz w:val="24"/>
                            <w:szCs w:val="24"/>
                          </w:rPr>
                          <w:t>$</w:t>
                        </w:r>
                        <w:r w:rsidR="00AD4DF9" w:rsidRPr="00F70C66">
                          <w:rPr>
                            <w:rFonts w:cstheme="minorHAnsi"/>
                            <w:b/>
                            <w:color w:val="C00000"/>
                            <w:sz w:val="24"/>
                            <w:szCs w:val="24"/>
                          </w:rPr>
                          <w:t>8,013</w:t>
                        </w:r>
                      </w:p>
                    </w:tc>
                    <w:tc>
                      <w:tcPr>
                        <w:tcW w:w="766" w:type="dxa"/>
                      </w:tcPr>
                      <w:p w:rsidR="0032417F" w:rsidRPr="00F70C66" w:rsidRDefault="004B0C47" w:rsidP="0032417F">
                        <w:pPr>
                          <w:pStyle w:val="ListParagraph"/>
                          <w:ind w:left="0"/>
                          <w:rPr>
                            <w:rFonts w:cstheme="minorHAnsi"/>
                            <w:b/>
                            <w:color w:val="C00000"/>
                            <w:sz w:val="24"/>
                            <w:szCs w:val="24"/>
                          </w:rPr>
                        </w:pPr>
                        <w:r w:rsidRPr="00F70C66">
                          <w:rPr>
                            <w:rFonts w:cstheme="minorHAnsi"/>
                            <w:b/>
                            <w:color w:val="C00000"/>
                            <w:sz w:val="24"/>
                            <w:szCs w:val="24"/>
                          </w:rPr>
                          <w:t>7</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Green Bay</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$7,878</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8</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Whitewater</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$7,6</w:t>
                        </w:r>
                        <w:r w:rsidR="00AD4DF9">
                          <w:rPr>
                            <w:rFonts w:cstheme="minorHAnsi"/>
                            <w:sz w:val="24"/>
                            <w:szCs w:val="24"/>
                          </w:rPr>
                          <w:t>62</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9</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Oshkosh</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$7,5</w:t>
                        </w:r>
                        <w:r w:rsidR="00AD4DF9">
                          <w:rPr>
                            <w:rFonts w:cstheme="minorHAnsi"/>
                            <w:sz w:val="24"/>
                            <w:szCs w:val="24"/>
                          </w:rPr>
                          <w:t>87</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10</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Platteville</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$7,</w:t>
                        </w:r>
                        <w:r w:rsidR="00AD4DF9">
                          <w:rPr>
                            <w:rFonts w:cstheme="minorHAnsi"/>
                            <w:sz w:val="24"/>
                            <w:szCs w:val="24"/>
                          </w:rPr>
                          <w:t>536</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11</w:t>
                        </w:r>
                      </w:p>
                    </w:tc>
                  </w:tr>
                  <w:tr w:rsidR="0032417F" w:rsidRPr="001C2D2E" w:rsidTr="001C2D2E">
                    <w:tc>
                      <w:tcPr>
                        <w:tcW w:w="1590"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Parkside</w:t>
                        </w:r>
                      </w:p>
                    </w:tc>
                    <w:tc>
                      <w:tcPr>
                        <w:tcW w:w="896" w:type="dxa"/>
                      </w:tcPr>
                      <w:p w:rsidR="0032417F" w:rsidRPr="001C2D2E" w:rsidRDefault="0032417F" w:rsidP="0032417F">
                        <w:pPr>
                          <w:pStyle w:val="ListParagraph"/>
                          <w:ind w:left="0"/>
                          <w:rPr>
                            <w:rFonts w:cstheme="minorHAnsi"/>
                            <w:sz w:val="24"/>
                            <w:szCs w:val="24"/>
                          </w:rPr>
                        </w:pPr>
                        <w:r w:rsidRPr="001C2D2E">
                          <w:rPr>
                            <w:rFonts w:cstheme="minorHAnsi"/>
                            <w:sz w:val="24"/>
                            <w:szCs w:val="24"/>
                          </w:rPr>
                          <w:t>$7,3</w:t>
                        </w:r>
                        <w:r w:rsidR="00AD4DF9">
                          <w:rPr>
                            <w:rFonts w:cstheme="minorHAnsi"/>
                            <w:sz w:val="24"/>
                            <w:szCs w:val="24"/>
                          </w:rPr>
                          <w:t>89</w:t>
                        </w:r>
                      </w:p>
                    </w:tc>
                    <w:tc>
                      <w:tcPr>
                        <w:tcW w:w="766" w:type="dxa"/>
                      </w:tcPr>
                      <w:p w:rsidR="0032417F" w:rsidRPr="001C2D2E" w:rsidRDefault="004B0C47" w:rsidP="0032417F">
                        <w:pPr>
                          <w:pStyle w:val="ListParagraph"/>
                          <w:ind w:left="0"/>
                          <w:rPr>
                            <w:rFonts w:cstheme="minorHAnsi"/>
                            <w:sz w:val="24"/>
                            <w:szCs w:val="24"/>
                          </w:rPr>
                        </w:pPr>
                        <w:r>
                          <w:rPr>
                            <w:rFonts w:cstheme="minorHAnsi"/>
                            <w:sz w:val="24"/>
                            <w:szCs w:val="24"/>
                          </w:rPr>
                          <w:t>12</w:t>
                        </w:r>
                      </w:p>
                    </w:tc>
                  </w:tr>
                </w:tbl>
                <w:p w:rsidR="0032417F" w:rsidRDefault="0032417F" w:rsidP="0032417F">
                  <w:pPr>
                    <w:pStyle w:val="ListParagraph"/>
                    <w:ind w:left="0"/>
                    <w:rPr>
                      <w:rFonts w:cstheme="minorHAnsi"/>
                      <w:sz w:val="24"/>
                      <w:szCs w:val="24"/>
                    </w:rPr>
                  </w:pPr>
                </w:p>
                <w:p w:rsidR="008B17C8" w:rsidRDefault="008B17C8" w:rsidP="0032417F">
                  <w:pPr>
                    <w:pStyle w:val="ListParagraph"/>
                    <w:ind w:left="0"/>
                    <w:rPr>
                      <w:rFonts w:cstheme="minorHAnsi"/>
                      <w:sz w:val="24"/>
                      <w:szCs w:val="24"/>
                    </w:rPr>
                  </w:pPr>
                </w:p>
                <w:p w:rsidR="008B17C8" w:rsidRPr="001C2D2E" w:rsidRDefault="008B17C8" w:rsidP="0032417F">
                  <w:pPr>
                    <w:pStyle w:val="ListParagraph"/>
                    <w:ind w:left="0"/>
                    <w:rPr>
                      <w:rFonts w:cstheme="minorHAnsi"/>
                      <w:sz w:val="24"/>
                      <w:szCs w:val="24"/>
                    </w:rPr>
                  </w:pPr>
                </w:p>
                <w:p w:rsidR="008E6564" w:rsidRDefault="008E6564" w:rsidP="0032417F">
                  <w:pPr>
                    <w:pStyle w:val="ListParagraph"/>
                    <w:ind w:left="0"/>
                    <w:rPr>
                      <w:rFonts w:cstheme="minorHAnsi"/>
                      <w:b/>
                      <w:sz w:val="24"/>
                      <w:szCs w:val="24"/>
                    </w:rPr>
                  </w:pPr>
                  <w:r w:rsidRPr="008E6564">
                    <w:rPr>
                      <w:rFonts w:cstheme="minorHAnsi"/>
                      <w:b/>
                      <w:sz w:val="24"/>
                      <w:szCs w:val="24"/>
                    </w:rPr>
                    <w:t xml:space="preserve">Student Debt:  </w:t>
                  </w:r>
                </w:p>
                <w:p w:rsidR="008E6564" w:rsidRPr="008E6564" w:rsidRDefault="008E6564" w:rsidP="0032417F">
                  <w:pPr>
                    <w:pStyle w:val="ListParagraph"/>
                    <w:ind w:left="0"/>
                    <w:rPr>
                      <w:rFonts w:cstheme="minorHAnsi"/>
                      <w:b/>
                      <w:sz w:val="24"/>
                      <w:szCs w:val="24"/>
                    </w:rPr>
                  </w:pPr>
                </w:p>
                <w:p w:rsidR="0032417F" w:rsidRDefault="0032417F" w:rsidP="0073355C">
                  <w:pPr>
                    <w:pStyle w:val="ListParagraph"/>
                    <w:ind w:left="0"/>
                  </w:pPr>
                  <w:r w:rsidRPr="001C2D2E">
                    <w:rPr>
                      <w:rFonts w:cstheme="minorHAnsi"/>
                      <w:sz w:val="24"/>
                      <w:szCs w:val="24"/>
                    </w:rPr>
                    <w:t>The 201</w:t>
                  </w:r>
                  <w:r w:rsidR="00CF5CD8">
                    <w:rPr>
                      <w:rFonts w:cstheme="minorHAnsi"/>
                      <w:sz w:val="24"/>
                      <w:szCs w:val="24"/>
                    </w:rPr>
                    <w:t>6</w:t>
                  </w:r>
                  <w:r w:rsidRPr="001C2D2E">
                    <w:rPr>
                      <w:rFonts w:cstheme="minorHAnsi"/>
                      <w:sz w:val="24"/>
                      <w:szCs w:val="24"/>
                    </w:rPr>
                    <w:t>-201</w:t>
                  </w:r>
                  <w:r w:rsidR="00CF5CD8">
                    <w:rPr>
                      <w:rFonts w:cstheme="minorHAnsi"/>
                      <w:sz w:val="24"/>
                      <w:szCs w:val="24"/>
                    </w:rPr>
                    <w:t>7</w:t>
                  </w:r>
                  <w:r w:rsidRPr="001C2D2E">
                    <w:rPr>
                      <w:rFonts w:cstheme="minorHAnsi"/>
                      <w:sz w:val="24"/>
                      <w:szCs w:val="24"/>
                    </w:rPr>
                    <w:t xml:space="preserve"> </w:t>
                  </w:r>
                  <w:r w:rsidR="004C6540">
                    <w:rPr>
                      <w:rFonts w:cstheme="minorHAnsi"/>
                      <w:sz w:val="24"/>
                      <w:szCs w:val="24"/>
                    </w:rPr>
                    <w:t>average debt of all graduates from</w:t>
                  </w:r>
                  <w:r w:rsidRPr="001C2D2E">
                    <w:rPr>
                      <w:rFonts w:cstheme="minorHAnsi"/>
                      <w:sz w:val="24"/>
                      <w:szCs w:val="24"/>
                    </w:rPr>
                    <w:t xml:space="preserve"> UWRF for resident undergraduates completing a bachelor’s degree is $</w:t>
                  </w:r>
                  <w:r w:rsidR="00CF5CD8">
                    <w:rPr>
                      <w:rFonts w:cstheme="minorHAnsi"/>
                      <w:sz w:val="24"/>
                      <w:szCs w:val="24"/>
                    </w:rPr>
                    <w:t>26,469</w:t>
                  </w:r>
                  <w:r w:rsidRPr="001C2D2E">
                    <w:rPr>
                      <w:rFonts w:cstheme="minorHAnsi"/>
                      <w:sz w:val="24"/>
                      <w:szCs w:val="24"/>
                    </w:rPr>
                    <w:t>.  7</w:t>
                  </w:r>
                  <w:r w:rsidR="00CF5CD8">
                    <w:rPr>
                      <w:rFonts w:cstheme="minorHAnsi"/>
                      <w:sz w:val="24"/>
                      <w:szCs w:val="24"/>
                    </w:rPr>
                    <w:t>3</w:t>
                  </w:r>
                  <w:r w:rsidRPr="001C2D2E">
                    <w:rPr>
                      <w:rFonts w:cstheme="minorHAnsi"/>
                      <w:sz w:val="24"/>
                      <w:szCs w:val="24"/>
                    </w:rPr>
                    <w:t xml:space="preserve"> percent of graduates received a loan during their college career.</w:t>
                  </w:r>
                  <w:r w:rsidR="00CC0E56">
                    <w:rPr>
                      <w:rFonts w:cstheme="minorHAnsi"/>
                      <w:sz w:val="24"/>
                      <w:szCs w:val="24"/>
                    </w:rPr>
                    <w:t xml:space="preserve">  Source: 201</w:t>
                  </w:r>
                  <w:r w:rsidR="00CF5CD8">
                    <w:rPr>
                      <w:rFonts w:cstheme="minorHAnsi"/>
                      <w:sz w:val="24"/>
                      <w:szCs w:val="24"/>
                    </w:rPr>
                    <w:t>7</w:t>
                  </w:r>
                  <w:r w:rsidR="00CC0E56">
                    <w:rPr>
                      <w:rFonts w:cstheme="minorHAnsi"/>
                      <w:sz w:val="24"/>
                      <w:szCs w:val="24"/>
                    </w:rPr>
                    <w:t>-1</w:t>
                  </w:r>
                  <w:r w:rsidR="00CF5CD8">
                    <w:rPr>
                      <w:rFonts w:cstheme="minorHAnsi"/>
                      <w:sz w:val="24"/>
                      <w:szCs w:val="24"/>
                    </w:rPr>
                    <w:t>8</w:t>
                  </w:r>
                  <w:r w:rsidR="00CC0E56">
                    <w:rPr>
                      <w:rFonts w:cstheme="minorHAnsi"/>
                      <w:sz w:val="24"/>
                      <w:szCs w:val="24"/>
                    </w:rPr>
                    <w:t xml:space="preserve"> UW System Fact Book</w:t>
                  </w:r>
                </w:p>
              </w:tc>
            </w:tr>
          </w:tbl>
          <w:p w:rsidR="008F5E7B" w:rsidRDefault="008F5E7B" w:rsidP="008F5E7B"/>
        </w:tc>
      </w:tr>
    </w:tbl>
    <w:p w:rsidR="007161B9" w:rsidRDefault="007161B9"/>
    <w:p w:rsidR="00456233" w:rsidRDefault="00456233" w:rsidP="00A41EB9">
      <w:pPr>
        <w:pStyle w:val="Heading1"/>
        <w:sectPr w:rsidR="00456233" w:rsidSect="00166F0D">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titlePg/>
          <w:docGrid w:linePitch="360"/>
        </w:sectPr>
      </w:pPr>
      <w:bookmarkStart w:id="5" w:name="_Toc513535046"/>
    </w:p>
    <w:tbl>
      <w:tblPr>
        <w:tblStyle w:val="TableGrid"/>
        <w:tblW w:w="0" w:type="auto"/>
        <w:tblLook w:val="04A0" w:firstRow="1" w:lastRow="0" w:firstColumn="1" w:lastColumn="0" w:noHBand="0" w:noVBand="1"/>
      </w:tblPr>
      <w:tblGrid>
        <w:gridCol w:w="14256"/>
      </w:tblGrid>
      <w:tr w:rsidR="00A41EB9" w:rsidTr="00456233">
        <w:tc>
          <w:tcPr>
            <w:tcW w:w="14256" w:type="dxa"/>
            <w:tcBorders>
              <w:top w:val="nil"/>
              <w:left w:val="nil"/>
              <w:bottom w:val="nil"/>
              <w:right w:val="nil"/>
            </w:tcBorders>
          </w:tcPr>
          <w:p w:rsidR="00A41EB9" w:rsidRPr="006F2BDC" w:rsidRDefault="001B74EB" w:rsidP="00456233">
            <w:pPr>
              <w:pStyle w:val="Heading1"/>
              <w:ind w:right="-1290"/>
              <w:outlineLvl w:val="0"/>
            </w:pPr>
            <w:r>
              <w:rPr>
                <w:i/>
              </w:rPr>
              <w:lastRenderedPageBreak/>
              <w:t>AC</w:t>
            </w:r>
            <w:r w:rsidR="005A1296" w:rsidRPr="005A1296">
              <w:rPr>
                <w:i/>
              </w:rPr>
              <w:t>TUAL</w:t>
            </w:r>
            <w:r w:rsidR="005A1296">
              <w:t xml:space="preserve"> </w:t>
            </w:r>
            <w:r w:rsidR="00A41EB9">
              <w:t xml:space="preserve">EXPENDITURES IN FY </w:t>
            </w:r>
            <w:r w:rsidR="00A41EB9" w:rsidRPr="00A32798">
              <w:rPr>
                <w:color w:val="FF0000"/>
              </w:rPr>
              <w:t>201</w:t>
            </w:r>
            <w:r w:rsidR="003B7F72">
              <w:rPr>
                <w:color w:val="FF0000"/>
              </w:rPr>
              <w:t>7</w:t>
            </w:r>
            <w:r w:rsidR="00A41EB9" w:rsidRPr="00A32798">
              <w:rPr>
                <w:color w:val="FF0000"/>
              </w:rPr>
              <w:t>-1</w:t>
            </w:r>
            <w:bookmarkEnd w:id="5"/>
            <w:r w:rsidR="003B7F72">
              <w:rPr>
                <w:color w:val="FF0000"/>
              </w:rPr>
              <w:t>8</w:t>
            </w:r>
            <w:r w:rsidR="00A41EB9" w:rsidRPr="00A32798">
              <w:rPr>
                <w:color w:val="FF0000"/>
              </w:rPr>
              <w:t xml:space="preserve"> </w:t>
            </w:r>
            <w:r w:rsidR="00A41EB9">
              <w:t>(in millions)</w:t>
            </w:r>
          </w:p>
          <w:p w:rsidR="00A41EB9" w:rsidRDefault="0073355C" w:rsidP="00456233">
            <w:pPr>
              <w:pStyle w:val="ListParagraph"/>
              <w:ind w:left="0" w:right="-1290"/>
            </w:pPr>
            <w:r w:rsidRPr="00A41EB9">
              <w:rPr>
                <w:b/>
                <w:noProof/>
              </w:rPr>
              <mc:AlternateContent>
                <mc:Choice Requires="wps">
                  <w:drawing>
                    <wp:anchor distT="45720" distB="45720" distL="114300" distR="114300" simplePos="0" relativeHeight="251667456" behindDoc="0" locked="0" layoutInCell="1" allowOverlap="1">
                      <wp:simplePos x="0" y="0"/>
                      <wp:positionH relativeFrom="column">
                        <wp:posOffset>4317060</wp:posOffset>
                      </wp:positionH>
                      <wp:positionV relativeFrom="paragraph">
                        <wp:posOffset>108102</wp:posOffset>
                      </wp:positionV>
                      <wp:extent cx="4657725" cy="510540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105400"/>
                              </a:xfrm>
                              <a:prstGeom prst="rect">
                                <a:avLst/>
                              </a:prstGeom>
                              <a:solidFill>
                                <a:srgbClr val="FFFFFF"/>
                              </a:solidFill>
                              <a:ln w="9525">
                                <a:noFill/>
                                <a:miter lim="800000"/>
                                <a:headEnd/>
                                <a:tailEnd/>
                              </a:ln>
                            </wps:spPr>
                            <wps:txbx>
                              <w:txbxContent>
                                <w:p w:rsidR="008C5BFE" w:rsidRPr="0040067B" w:rsidRDefault="008C5BFE" w:rsidP="00456233">
                                  <w:pPr>
                                    <w:pStyle w:val="ListParagraph"/>
                                    <w:ind w:left="0" w:right="-1905"/>
                                    <w:rPr>
                                      <w:sz w:val="24"/>
                                    </w:rPr>
                                  </w:pPr>
                                  <w:r w:rsidRPr="0040067B">
                                    <w:rPr>
                                      <w:sz w:val="24"/>
                                    </w:rPr>
                                    <w:t>Expenditures at UW-River Falls reflect our mission and strategic goals.</w:t>
                                  </w:r>
                                </w:p>
                                <w:p w:rsidR="008C5BFE" w:rsidRPr="0040067B" w:rsidRDefault="008C5BFE" w:rsidP="00456233">
                                  <w:pPr>
                                    <w:pStyle w:val="ListParagraph"/>
                                    <w:ind w:left="0" w:right="-1905"/>
                                    <w:rPr>
                                      <w:sz w:val="24"/>
                                    </w:rPr>
                                  </w:pPr>
                                </w:p>
                                <w:p w:rsidR="008C5BFE" w:rsidRPr="0040067B" w:rsidRDefault="008C5BFE" w:rsidP="00456233">
                                  <w:pPr>
                                    <w:pStyle w:val="ListParagraph"/>
                                    <w:numPr>
                                      <w:ilvl w:val="0"/>
                                      <w:numId w:val="3"/>
                                    </w:numPr>
                                    <w:ind w:left="360" w:right="-1905"/>
                                    <w:rPr>
                                      <w:sz w:val="24"/>
                                    </w:rPr>
                                  </w:pPr>
                                  <w:r w:rsidRPr="0040067B">
                                    <w:rPr>
                                      <w:sz w:val="24"/>
                                    </w:rPr>
                                    <w:t>In the 201</w:t>
                                  </w:r>
                                  <w:r w:rsidR="0043352E">
                                    <w:rPr>
                                      <w:sz w:val="24"/>
                                    </w:rPr>
                                    <w:t>7</w:t>
                                  </w:r>
                                  <w:r w:rsidRPr="0040067B">
                                    <w:rPr>
                                      <w:sz w:val="24"/>
                                    </w:rPr>
                                    <w:t>-1</w:t>
                                  </w:r>
                                  <w:r w:rsidR="0043352E">
                                    <w:rPr>
                                      <w:sz w:val="24"/>
                                    </w:rPr>
                                    <w:t>8</w:t>
                                  </w:r>
                                  <w:r w:rsidRPr="0040067B">
                                    <w:rPr>
                                      <w:sz w:val="24"/>
                                    </w:rPr>
                                    <w:t xml:space="preserve"> academic year, $35.</w:t>
                                  </w:r>
                                  <w:r w:rsidR="0043352E">
                                    <w:rPr>
                                      <w:sz w:val="24"/>
                                    </w:rPr>
                                    <w:t>8</w:t>
                                  </w:r>
                                  <w:r w:rsidRPr="0040067B">
                                    <w:rPr>
                                      <w:sz w:val="24"/>
                                    </w:rPr>
                                    <w:t xml:space="preserve"> million or 2</w:t>
                                  </w:r>
                                  <w:r w:rsidR="0043352E">
                                    <w:rPr>
                                      <w:sz w:val="24"/>
                                    </w:rPr>
                                    <w:t>4</w:t>
                                  </w:r>
                                  <w:r w:rsidRPr="0040067B">
                                    <w:rPr>
                                      <w:sz w:val="24"/>
                                    </w:rPr>
                                    <w:t xml:space="preserve">% was allocated </w:t>
                                  </w:r>
                                  <w:r w:rsidRPr="0040067B">
                                    <w:rPr>
                                      <w:sz w:val="24"/>
                                    </w:rPr>
                                    <w:br/>
                                  </w:r>
                                  <w:r>
                                    <w:rPr>
                                      <w:sz w:val="24"/>
                                    </w:rPr>
                                    <w:t>to our academic units.  $</w:t>
                                  </w:r>
                                  <w:r w:rsidR="0043352E">
                                    <w:rPr>
                                      <w:sz w:val="24"/>
                                    </w:rPr>
                                    <w:t>37.6</w:t>
                                  </w:r>
                                  <w:r>
                                    <w:rPr>
                                      <w:sz w:val="24"/>
                                    </w:rPr>
                                    <w:t xml:space="preserve"> million or 2</w:t>
                                  </w:r>
                                  <w:r w:rsidR="0043352E">
                                    <w:rPr>
                                      <w:sz w:val="24"/>
                                    </w:rPr>
                                    <w:t>5</w:t>
                                  </w:r>
                                  <w:r>
                                    <w:rPr>
                                      <w:sz w:val="24"/>
                                    </w:rPr>
                                    <w:t>% was allocated to</w:t>
                                  </w:r>
                                  <w:r>
                                    <w:rPr>
                                      <w:sz w:val="24"/>
                                    </w:rPr>
                                    <w:br/>
                                    <w:t xml:space="preserve">support units. </w:t>
                                  </w:r>
                                </w:p>
                                <w:p w:rsidR="008C5BFE" w:rsidRDefault="008C5BFE" w:rsidP="00456233">
                                  <w:pPr>
                                    <w:pStyle w:val="ListParagraph"/>
                                    <w:numPr>
                                      <w:ilvl w:val="0"/>
                                      <w:numId w:val="3"/>
                                    </w:numPr>
                                    <w:ind w:left="360" w:right="-1905"/>
                                    <w:rPr>
                                      <w:sz w:val="24"/>
                                    </w:rPr>
                                  </w:pPr>
                                  <w:r w:rsidRPr="0040067B">
                                    <w:rPr>
                                      <w:sz w:val="24"/>
                                    </w:rPr>
                                    <w:t>$3</w:t>
                                  </w:r>
                                  <w:r w:rsidR="0043352E">
                                    <w:rPr>
                                      <w:sz w:val="24"/>
                                    </w:rPr>
                                    <w:t>7</w:t>
                                  </w:r>
                                  <w:r w:rsidRPr="0040067B">
                                    <w:rPr>
                                      <w:sz w:val="24"/>
                                    </w:rPr>
                                    <w:t xml:space="preserve"> million, or 2</w:t>
                                  </w:r>
                                  <w:r w:rsidR="0043352E">
                                    <w:rPr>
                                      <w:sz w:val="24"/>
                                    </w:rPr>
                                    <w:t>5</w:t>
                                  </w:r>
                                  <w:r w:rsidRPr="0040067B">
                                    <w:rPr>
                                      <w:sz w:val="24"/>
                                    </w:rPr>
                                    <w:t xml:space="preserve">% was provided to the students as </w:t>
                                  </w:r>
                                  <w:r w:rsidRPr="0040067B">
                                    <w:rPr>
                                      <w:sz w:val="24"/>
                                    </w:rPr>
                                    <w:br/>
                                    <w:t>financial aid or scholarships.</w:t>
                                  </w:r>
                                </w:p>
                                <w:p w:rsidR="008C5BFE" w:rsidRPr="0040067B" w:rsidRDefault="008C5BFE" w:rsidP="00456233">
                                  <w:pPr>
                                    <w:pStyle w:val="ListParagraph"/>
                                    <w:numPr>
                                      <w:ilvl w:val="0"/>
                                      <w:numId w:val="3"/>
                                    </w:numPr>
                                    <w:ind w:left="360" w:right="-1905"/>
                                    <w:rPr>
                                      <w:sz w:val="24"/>
                                    </w:rPr>
                                  </w:pPr>
                                  <w:r>
                                    <w:rPr>
                                      <w:sz w:val="24"/>
                                    </w:rPr>
                                    <w:t>Source: WISDM</w:t>
                                  </w:r>
                                </w:p>
                                <w:p w:rsidR="008C5BFE" w:rsidRDefault="008C5BFE" w:rsidP="00456233">
                                  <w:pPr>
                                    <w:pStyle w:val="ListParagraph"/>
                                    <w:ind w:left="0" w:right="-1905"/>
                                  </w:pPr>
                                </w:p>
                                <w:p w:rsidR="008C5BFE" w:rsidRDefault="003B7F72" w:rsidP="00456233">
                                  <w:pPr>
                                    <w:pStyle w:val="ListParagraph"/>
                                    <w:ind w:left="0" w:right="-1905"/>
                                  </w:pPr>
                                  <w:r>
                                    <w:rPr>
                                      <w:noProof/>
                                    </w:rPr>
                                    <w:drawing>
                                      <wp:inline distT="0" distB="0" distL="0" distR="0" wp14:anchorId="6212F756" wp14:editId="754BE8F5">
                                        <wp:extent cx="4389120" cy="3100647"/>
                                        <wp:effectExtent l="19050" t="19050" r="11430" b="24130"/>
                                        <wp:docPr id="11" name="Chart 11">
                                          <a:extLst xmlns:a="http://schemas.openxmlformats.org/drawingml/2006/main">
                                            <a:ext uri="{FF2B5EF4-FFF2-40B4-BE49-F238E27FC236}">
                                              <a16:creationId xmlns:a16="http://schemas.microsoft.com/office/drawing/2014/main" id="{93BF643F-0565-4A4A-9A03-CA26DBC00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BFE" w:rsidRDefault="008C5BFE" w:rsidP="00456233">
                                  <w:pPr>
                                    <w:ind w:right="-190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9.95pt;margin-top:8.5pt;width:366.75pt;height:4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" stroked="f">
                      <v:textbox>
                        <w:txbxContent>
                          <w:p w:rsidR="008C5BFE" w:rsidRPr="0040067B" w:rsidRDefault="008C5BFE" w:rsidP="00456233">
                            <w:pPr>
                              <w:pStyle w:val="ListParagraph"/>
                              <w:ind w:left="0" w:right="-1905"/>
                              <w:rPr>
                                <w:sz w:val="24"/>
                              </w:rPr>
                            </w:pPr>
                            <w:r w:rsidRPr="0040067B">
                              <w:rPr>
                                <w:sz w:val="24"/>
                              </w:rPr>
                              <w:t>Expenditures at UW-River Falls reflect our mission and strategic goals.</w:t>
                            </w:r>
                          </w:p>
                          <w:p w:rsidR="008C5BFE" w:rsidRPr="0040067B" w:rsidRDefault="008C5BFE" w:rsidP="00456233">
                            <w:pPr>
                              <w:pStyle w:val="ListParagraph"/>
                              <w:ind w:left="0" w:right="-1905"/>
                              <w:rPr>
                                <w:sz w:val="24"/>
                              </w:rPr>
                            </w:pPr>
                          </w:p>
                          <w:p w:rsidR="008C5BFE" w:rsidRPr="0040067B" w:rsidRDefault="008C5BFE" w:rsidP="00456233">
                            <w:pPr>
                              <w:pStyle w:val="ListParagraph"/>
                              <w:numPr>
                                <w:ilvl w:val="0"/>
                                <w:numId w:val="3"/>
                              </w:numPr>
                              <w:ind w:left="360" w:right="-1905"/>
                              <w:rPr>
                                <w:sz w:val="24"/>
                              </w:rPr>
                            </w:pPr>
                            <w:r w:rsidRPr="0040067B">
                              <w:rPr>
                                <w:sz w:val="24"/>
                              </w:rPr>
                              <w:t>In the 201</w:t>
                            </w:r>
                            <w:r w:rsidR="0043352E">
                              <w:rPr>
                                <w:sz w:val="24"/>
                              </w:rPr>
                              <w:t>7</w:t>
                            </w:r>
                            <w:r w:rsidRPr="0040067B">
                              <w:rPr>
                                <w:sz w:val="24"/>
                              </w:rPr>
                              <w:t>-1</w:t>
                            </w:r>
                            <w:r w:rsidR="0043352E">
                              <w:rPr>
                                <w:sz w:val="24"/>
                              </w:rPr>
                              <w:t>8</w:t>
                            </w:r>
                            <w:r w:rsidRPr="0040067B">
                              <w:rPr>
                                <w:sz w:val="24"/>
                              </w:rPr>
                              <w:t xml:space="preserve"> academic year, $35.</w:t>
                            </w:r>
                            <w:r w:rsidR="0043352E">
                              <w:rPr>
                                <w:sz w:val="24"/>
                              </w:rPr>
                              <w:t>8</w:t>
                            </w:r>
                            <w:r w:rsidRPr="0040067B">
                              <w:rPr>
                                <w:sz w:val="24"/>
                              </w:rPr>
                              <w:t xml:space="preserve"> million or 2</w:t>
                            </w:r>
                            <w:r w:rsidR="0043352E">
                              <w:rPr>
                                <w:sz w:val="24"/>
                              </w:rPr>
                              <w:t>4</w:t>
                            </w:r>
                            <w:r w:rsidRPr="0040067B">
                              <w:rPr>
                                <w:sz w:val="24"/>
                              </w:rPr>
                              <w:t xml:space="preserve">% was allocated </w:t>
                            </w:r>
                            <w:r w:rsidRPr="0040067B">
                              <w:rPr>
                                <w:sz w:val="24"/>
                              </w:rPr>
                              <w:br/>
                            </w:r>
                            <w:r>
                              <w:rPr>
                                <w:sz w:val="24"/>
                              </w:rPr>
                              <w:t>to our academic units.  $</w:t>
                            </w:r>
                            <w:r w:rsidR="0043352E">
                              <w:rPr>
                                <w:sz w:val="24"/>
                              </w:rPr>
                              <w:t>37.6</w:t>
                            </w:r>
                            <w:r>
                              <w:rPr>
                                <w:sz w:val="24"/>
                              </w:rPr>
                              <w:t xml:space="preserve"> million or 2</w:t>
                            </w:r>
                            <w:r w:rsidR="0043352E">
                              <w:rPr>
                                <w:sz w:val="24"/>
                              </w:rPr>
                              <w:t>5</w:t>
                            </w:r>
                            <w:r>
                              <w:rPr>
                                <w:sz w:val="24"/>
                              </w:rPr>
                              <w:t>% was allocated to</w:t>
                            </w:r>
                            <w:r>
                              <w:rPr>
                                <w:sz w:val="24"/>
                              </w:rPr>
                              <w:br/>
                              <w:t xml:space="preserve">support units. </w:t>
                            </w:r>
                          </w:p>
                          <w:p w:rsidR="008C5BFE" w:rsidRDefault="008C5BFE" w:rsidP="00456233">
                            <w:pPr>
                              <w:pStyle w:val="ListParagraph"/>
                              <w:numPr>
                                <w:ilvl w:val="0"/>
                                <w:numId w:val="3"/>
                              </w:numPr>
                              <w:ind w:left="360" w:right="-1905"/>
                              <w:rPr>
                                <w:sz w:val="24"/>
                              </w:rPr>
                            </w:pPr>
                            <w:r w:rsidRPr="0040067B">
                              <w:rPr>
                                <w:sz w:val="24"/>
                              </w:rPr>
                              <w:t>$3</w:t>
                            </w:r>
                            <w:r w:rsidR="0043352E">
                              <w:rPr>
                                <w:sz w:val="24"/>
                              </w:rPr>
                              <w:t>7</w:t>
                            </w:r>
                            <w:r w:rsidRPr="0040067B">
                              <w:rPr>
                                <w:sz w:val="24"/>
                              </w:rPr>
                              <w:t xml:space="preserve"> million, or 2</w:t>
                            </w:r>
                            <w:r w:rsidR="0043352E">
                              <w:rPr>
                                <w:sz w:val="24"/>
                              </w:rPr>
                              <w:t>5</w:t>
                            </w:r>
                            <w:r w:rsidRPr="0040067B">
                              <w:rPr>
                                <w:sz w:val="24"/>
                              </w:rPr>
                              <w:t xml:space="preserve">% was provided to the students as </w:t>
                            </w:r>
                            <w:r w:rsidRPr="0040067B">
                              <w:rPr>
                                <w:sz w:val="24"/>
                              </w:rPr>
                              <w:br/>
                              <w:t>financial aid or scholarships.</w:t>
                            </w:r>
                          </w:p>
                          <w:p w:rsidR="008C5BFE" w:rsidRPr="0040067B" w:rsidRDefault="008C5BFE" w:rsidP="00456233">
                            <w:pPr>
                              <w:pStyle w:val="ListParagraph"/>
                              <w:numPr>
                                <w:ilvl w:val="0"/>
                                <w:numId w:val="3"/>
                              </w:numPr>
                              <w:ind w:left="360" w:right="-1905"/>
                              <w:rPr>
                                <w:sz w:val="24"/>
                              </w:rPr>
                            </w:pPr>
                            <w:r>
                              <w:rPr>
                                <w:sz w:val="24"/>
                              </w:rPr>
                              <w:t>Source: WISDM</w:t>
                            </w:r>
                          </w:p>
                          <w:p w:rsidR="008C5BFE" w:rsidRDefault="008C5BFE" w:rsidP="00456233">
                            <w:pPr>
                              <w:pStyle w:val="ListParagraph"/>
                              <w:ind w:left="0" w:right="-1905"/>
                            </w:pPr>
                          </w:p>
                          <w:p w:rsidR="008C5BFE" w:rsidRDefault="003B7F72" w:rsidP="00456233">
                            <w:pPr>
                              <w:pStyle w:val="ListParagraph"/>
                              <w:ind w:left="0" w:right="-1905"/>
                            </w:pPr>
                            <w:r>
                              <w:rPr>
                                <w:noProof/>
                              </w:rPr>
                              <w:drawing>
                                <wp:inline distT="0" distB="0" distL="0" distR="0" wp14:anchorId="6212F756" wp14:editId="754BE8F5">
                                  <wp:extent cx="4389120" cy="3100647"/>
                                  <wp:effectExtent l="19050" t="19050" r="11430" b="24130"/>
                                  <wp:docPr id="11" name="Chart 11">
                                    <a:extLst xmlns:a="http://schemas.openxmlformats.org/drawingml/2006/main">
                                      <a:ext uri="{FF2B5EF4-FFF2-40B4-BE49-F238E27FC236}">
                                        <a16:creationId xmlns:a16="http://schemas.microsoft.com/office/drawing/2014/main" id="{93BF643F-0565-4A4A-9A03-CA26DBC008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5BFE" w:rsidRDefault="008C5BFE" w:rsidP="00456233">
                            <w:pPr>
                              <w:ind w:right="-1905"/>
                            </w:pPr>
                          </w:p>
                        </w:txbxContent>
                      </v:textbox>
                      <w10:wrap type="square"/>
                    </v:shape>
                  </w:pict>
                </mc:Fallback>
              </mc:AlternateContent>
            </w:r>
          </w:p>
          <w:tbl>
            <w:tblPr>
              <w:tblStyle w:val="TableGrid"/>
              <w:tblW w:w="6559" w:type="dxa"/>
              <w:tblLook w:val="04A0" w:firstRow="1" w:lastRow="0" w:firstColumn="1" w:lastColumn="0" w:noHBand="0" w:noVBand="1"/>
            </w:tblPr>
            <w:tblGrid>
              <w:gridCol w:w="4202"/>
              <w:gridCol w:w="1138"/>
              <w:gridCol w:w="1219"/>
            </w:tblGrid>
            <w:tr w:rsidR="00626ED0" w:rsidTr="009F1F3D">
              <w:tc>
                <w:tcPr>
                  <w:tcW w:w="4202" w:type="dxa"/>
                </w:tcPr>
                <w:p w:rsidR="00626ED0" w:rsidRPr="00C36D99" w:rsidRDefault="00626ED0" w:rsidP="00626ED0">
                  <w:pPr>
                    <w:pStyle w:val="ListParagraph"/>
                    <w:ind w:left="0"/>
                    <w:rPr>
                      <w:b/>
                    </w:rPr>
                  </w:pPr>
                  <w:bookmarkStart w:id="6" w:name="OLE_LINK1"/>
                  <w:r w:rsidRPr="00C36D99">
                    <w:rPr>
                      <w:b/>
                    </w:rPr>
                    <w:t>Academic Units</w:t>
                  </w:r>
                </w:p>
              </w:tc>
              <w:tc>
                <w:tcPr>
                  <w:tcW w:w="1138" w:type="dxa"/>
                </w:tcPr>
                <w:p w:rsidR="00626ED0" w:rsidRDefault="00626ED0" w:rsidP="00626ED0">
                  <w:pPr>
                    <w:pStyle w:val="ListParagraph"/>
                    <w:ind w:left="0"/>
                  </w:pPr>
                  <w:r>
                    <w:t>All Funds</w:t>
                  </w:r>
                </w:p>
              </w:tc>
              <w:tc>
                <w:tcPr>
                  <w:tcW w:w="1219" w:type="dxa"/>
                </w:tcPr>
                <w:p w:rsidR="00626ED0" w:rsidRDefault="00626ED0" w:rsidP="00626ED0">
                  <w:pPr>
                    <w:pStyle w:val="ListParagraph"/>
                    <w:ind w:left="0"/>
                  </w:pPr>
                  <w:r>
                    <w:t>% of Total</w:t>
                  </w:r>
                </w:p>
              </w:tc>
            </w:tr>
            <w:tr w:rsidR="00626ED0" w:rsidTr="009F1F3D">
              <w:tc>
                <w:tcPr>
                  <w:tcW w:w="4202" w:type="dxa"/>
                </w:tcPr>
                <w:p w:rsidR="00626ED0" w:rsidRDefault="00626ED0" w:rsidP="00626ED0">
                  <w:pPr>
                    <w:pStyle w:val="ListParagraph"/>
                    <w:ind w:left="0"/>
                  </w:pPr>
                  <w:r>
                    <w:t>College of Agriculture and Food Sciences</w:t>
                  </w:r>
                </w:p>
              </w:tc>
              <w:tc>
                <w:tcPr>
                  <w:tcW w:w="1138" w:type="dxa"/>
                </w:tcPr>
                <w:p w:rsidR="00626ED0" w:rsidRDefault="00626ED0" w:rsidP="00626ED0">
                  <w:pPr>
                    <w:pStyle w:val="ListParagraph"/>
                    <w:ind w:left="0"/>
                    <w:jc w:val="right"/>
                  </w:pPr>
                  <w:r>
                    <w:t>$9.</w:t>
                  </w:r>
                  <w:r w:rsidR="003B7F72">
                    <w:t>7</w:t>
                  </w:r>
                </w:p>
              </w:tc>
              <w:tc>
                <w:tcPr>
                  <w:tcW w:w="1219" w:type="dxa"/>
                </w:tcPr>
                <w:p w:rsidR="00626ED0" w:rsidRDefault="003B7F72" w:rsidP="00626ED0">
                  <w:pPr>
                    <w:pStyle w:val="ListParagraph"/>
                    <w:ind w:left="0"/>
                    <w:jc w:val="right"/>
                  </w:pPr>
                  <w:r>
                    <w:t>6</w:t>
                  </w:r>
                  <w:r w:rsidR="00626ED0">
                    <w:t>%</w:t>
                  </w:r>
                </w:p>
              </w:tc>
            </w:tr>
            <w:tr w:rsidR="00626ED0" w:rsidTr="009F1F3D">
              <w:tc>
                <w:tcPr>
                  <w:tcW w:w="4202" w:type="dxa"/>
                </w:tcPr>
                <w:p w:rsidR="00626ED0" w:rsidRDefault="00626ED0" w:rsidP="00626ED0">
                  <w:pPr>
                    <w:pStyle w:val="ListParagraph"/>
                    <w:ind w:left="0"/>
                  </w:pPr>
                  <w:r>
                    <w:t>College of Arts and Sciences</w:t>
                  </w:r>
                </w:p>
              </w:tc>
              <w:tc>
                <w:tcPr>
                  <w:tcW w:w="1138" w:type="dxa"/>
                </w:tcPr>
                <w:p w:rsidR="00626ED0" w:rsidRDefault="00626ED0" w:rsidP="00626ED0">
                  <w:pPr>
                    <w:pStyle w:val="ListParagraph"/>
                    <w:ind w:left="0"/>
                    <w:jc w:val="right"/>
                  </w:pPr>
                  <w:r>
                    <w:t>$1</w:t>
                  </w:r>
                  <w:r w:rsidR="003B7F72">
                    <w:t>4.8</w:t>
                  </w:r>
                </w:p>
              </w:tc>
              <w:tc>
                <w:tcPr>
                  <w:tcW w:w="1219" w:type="dxa"/>
                </w:tcPr>
                <w:p w:rsidR="00626ED0" w:rsidRDefault="00626ED0" w:rsidP="00626ED0">
                  <w:pPr>
                    <w:pStyle w:val="ListParagraph"/>
                    <w:ind w:left="0"/>
                    <w:jc w:val="right"/>
                  </w:pPr>
                  <w:r>
                    <w:t>1</w:t>
                  </w:r>
                  <w:r w:rsidR="003B7F72">
                    <w:t>0</w:t>
                  </w:r>
                  <w:r>
                    <w:t>%</w:t>
                  </w:r>
                </w:p>
              </w:tc>
            </w:tr>
            <w:tr w:rsidR="00626ED0" w:rsidTr="009F1F3D">
              <w:tc>
                <w:tcPr>
                  <w:tcW w:w="4202" w:type="dxa"/>
                </w:tcPr>
                <w:p w:rsidR="00626ED0" w:rsidRDefault="00626ED0" w:rsidP="00626ED0">
                  <w:pPr>
                    <w:pStyle w:val="ListParagraph"/>
                    <w:ind w:left="0"/>
                  </w:pPr>
                  <w:r>
                    <w:t>College of Business and Economics</w:t>
                  </w:r>
                </w:p>
              </w:tc>
              <w:tc>
                <w:tcPr>
                  <w:tcW w:w="1138" w:type="dxa"/>
                </w:tcPr>
                <w:p w:rsidR="00626ED0" w:rsidRDefault="00626ED0" w:rsidP="00626ED0">
                  <w:pPr>
                    <w:pStyle w:val="ListParagraph"/>
                    <w:ind w:left="0"/>
                    <w:jc w:val="right"/>
                  </w:pPr>
                  <w:r>
                    <w:t>$5.</w:t>
                  </w:r>
                  <w:r w:rsidR="003B7F72">
                    <w:t>8</w:t>
                  </w:r>
                </w:p>
              </w:tc>
              <w:tc>
                <w:tcPr>
                  <w:tcW w:w="1219" w:type="dxa"/>
                </w:tcPr>
                <w:p w:rsidR="00626ED0" w:rsidRDefault="00626ED0" w:rsidP="00626ED0">
                  <w:pPr>
                    <w:pStyle w:val="ListParagraph"/>
                    <w:ind w:left="0"/>
                    <w:jc w:val="right"/>
                  </w:pPr>
                  <w:r>
                    <w:t>4%</w:t>
                  </w:r>
                </w:p>
              </w:tc>
            </w:tr>
            <w:tr w:rsidR="00626ED0" w:rsidTr="009F1F3D">
              <w:tc>
                <w:tcPr>
                  <w:tcW w:w="4202" w:type="dxa"/>
                </w:tcPr>
                <w:p w:rsidR="00626ED0" w:rsidRDefault="00626ED0" w:rsidP="00626ED0">
                  <w:pPr>
                    <w:pStyle w:val="ListParagraph"/>
                    <w:ind w:left="0"/>
                  </w:pPr>
                  <w:r>
                    <w:t>College of Education &amp; Professional Studies</w:t>
                  </w:r>
                </w:p>
              </w:tc>
              <w:tc>
                <w:tcPr>
                  <w:tcW w:w="1138" w:type="dxa"/>
                </w:tcPr>
                <w:p w:rsidR="00626ED0" w:rsidRDefault="00626ED0" w:rsidP="00626ED0">
                  <w:pPr>
                    <w:pStyle w:val="ListParagraph"/>
                    <w:ind w:left="0"/>
                    <w:jc w:val="right"/>
                  </w:pPr>
                  <w:r>
                    <w:t>$5.</w:t>
                  </w:r>
                  <w:r w:rsidR="003B7F72">
                    <w:t>5</w:t>
                  </w:r>
                </w:p>
              </w:tc>
              <w:tc>
                <w:tcPr>
                  <w:tcW w:w="1219" w:type="dxa"/>
                </w:tcPr>
                <w:p w:rsidR="00626ED0" w:rsidRDefault="00626ED0" w:rsidP="00626ED0">
                  <w:pPr>
                    <w:pStyle w:val="ListParagraph"/>
                    <w:ind w:left="0"/>
                    <w:jc w:val="right"/>
                  </w:pPr>
                  <w:r>
                    <w:t>4%</w:t>
                  </w:r>
                </w:p>
              </w:tc>
            </w:tr>
            <w:tr w:rsidR="00626ED0" w:rsidTr="009F1F3D">
              <w:tc>
                <w:tcPr>
                  <w:tcW w:w="4202" w:type="dxa"/>
                </w:tcPr>
                <w:p w:rsidR="00626ED0" w:rsidRPr="00BF6275" w:rsidRDefault="00626ED0" w:rsidP="00626ED0">
                  <w:pPr>
                    <w:pStyle w:val="ListParagraph"/>
                    <w:ind w:left="0"/>
                    <w:rPr>
                      <w:b/>
                    </w:rPr>
                  </w:pPr>
                  <w:r w:rsidRPr="00BF6275">
                    <w:rPr>
                      <w:b/>
                    </w:rPr>
                    <w:t>Subtotal</w:t>
                  </w:r>
                </w:p>
              </w:tc>
              <w:tc>
                <w:tcPr>
                  <w:tcW w:w="1138" w:type="dxa"/>
                </w:tcPr>
                <w:p w:rsidR="00626ED0" w:rsidRPr="00BF6275" w:rsidRDefault="00626ED0" w:rsidP="00626ED0">
                  <w:pPr>
                    <w:pStyle w:val="ListParagraph"/>
                    <w:ind w:left="0"/>
                    <w:jc w:val="right"/>
                    <w:rPr>
                      <w:b/>
                    </w:rPr>
                  </w:pPr>
                  <w:r w:rsidRPr="00BF6275">
                    <w:rPr>
                      <w:b/>
                    </w:rPr>
                    <w:t>$35.</w:t>
                  </w:r>
                  <w:r w:rsidR="003B7F72">
                    <w:rPr>
                      <w:b/>
                    </w:rPr>
                    <w:t>8</w:t>
                  </w:r>
                </w:p>
              </w:tc>
              <w:tc>
                <w:tcPr>
                  <w:tcW w:w="1219" w:type="dxa"/>
                </w:tcPr>
                <w:p w:rsidR="00626ED0" w:rsidRPr="004A40F2" w:rsidRDefault="00626ED0" w:rsidP="00626ED0">
                  <w:pPr>
                    <w:pStyle w:val="ListParagraph"/>
                    <w:ind w:left="0"/>
                    <w:jc w:val="right"/>
                    <w:rPr>
                      <w:b/>
                    </w:rPr>
                  </w:pPr>
                  <w:r w:rsidRPr="004A40F2">
                    <w:rPr>
                      <w:b/>
                    </w:rPr>
                    <w:t>2</w:t>
                  </w:r>
                  <w:r w:rsidR="0043352E">
                    <w:rPr>
                      <w:b/>
                    </w:rPr>
                    <w:t>4</w:t>
                  </w:r>
                  <w:r w:rsidRPr="004A40F2">
                    <w:rPr>
                      <w:b/>
                    </w:rPr>
                    <w:t>%</w:t>
                  </w:r>
                </w:p>
              </w:tc>
            </w:tr>
            <w:tr w:rsidR="00626ED0" w:rsidTr="009F1F3D">
              <w:tc>
                <w:tcPr>
                  <w:tcW w:w="4202" w:type="dxa"/>
                </w:tcPr>
                <w:p w:rsidR="00626ED0" w:rsidRDefault="00626ED0" w:rsidP="00626ED0">
                  <w:pPr>
                    <w:pStyle w:val="ListParagraph"/>
                    <w:ind w:left="0"/>
                  </w:pPr>
                </w:p>
              </w:tc>
              <w:tc>
                <w:tcPr>
                  <w:tcW w:w="1138" w:type="dxa"/>
                </w:tcPr>
                <w:p w:rsidR="00626ED0" w:rsidRDefault="00626ED0" w:rsidP="00626ED0">
                  <w:pPr>
                    <w:pStyle w:val="ListParagraph"/>
                    <w:ind w:left="0"/>
                    <w:jc w:val="right"/>
                  </w:pPr>
                </w:p>
              </w:tc>
              <w:tc>
                <w:tcPr>
                  <w:tcW w:w="1219" w:type="dxa"/>
                </w:tcPr>
                <w:p w:rsidR="00626ED0" w:rsidRDefault="00626ED0" w:rsidP="00626ED0">
                  <w:pPr>
                    <w:pStyle w:val="ListParagraph"/>
                    <w:ind w:left="0"/>
                    <w:jc w:val="right"/>
                  </w:pPr>
                </w:p>
              </w:tc>
            </w:tr>
            <w:tr w:rsidR="00626ED0" w:rsidTr="009F1F3D">
              <w:tc>
                <w:tcPr>
                  <w:tcW w:w="4202" w:type="dxa"/>
                </w:tcPr>
                <w:p w:rsidR="00626ED0" w:rsidRPr="007B18E7" w:rsidRDefault="00626ED0" w:rsidP="00626ED0">
                  <w:pPr>
                    <w:pStyle w:val="ListParagraph"/>
                    <w:ind w:left="0"/>
                    <w:rPr>
                      <w:b/>
                    </w:rPr>
                  </w:pPr>
                  <w:r w:rsidRPr="007B18E7">
                    <w:rPr>
                      <w:b/>
                    </w:rPr>
                    <w:t>Auxiliary Units</w:t>
                  </w:r>
                </w:p>
              </w:tc>
              <w:tc>
                <w:tcPr>
                  <w:tcW w:w="1138" w:type="dxa"/>
                </w:tcPr>
                <w:p w:rsidR="00626ED0" w:rsidRDefault="00626ED0" w:rsidP="00626ED0">
                  <w:pPr>
                    <w:pStyle w:val="ListParagraph"/>
                    <w:ind w:left="0"/>
                    <w:jc w:val="right"/>
                  </w:pPr>
                </w:p>
              </w:tc>
              <w:tc>
                <w:tcPr>
                  <w:tcW w:w="1219" w:type="dxa"/>
                </w:tcPr>
                <w:p w:rsidR="00626ED0" w:rsidRDefault="00626ED0" w:rsidP="00626ED0">
                  <w:pPr>
                    <w:pStyle w:val="ListParagraph"/>
                    <w:ind w:left="0"/>
                    <w:jc w:val="right"/>
                  </w:pPr>
                </w:p>
              </w:tc>
            </w:tr>
            <w:tr w:rsidR="00626ED0" w:rsidTr="009F1F3D">
              <w:tc>
                <w:tcPr>
                  <w:tcW w:w="4202" w:type="dxa"/>
                </w:tcPr>
                <w:p w:rsidR="00626ED0" w:rsidRDefault="00626ED0" w:rsidP="00626ED0">
                  <w:pPr>
                    <w:pStyle w:val="ListParagraph"/>
                    <w:ind w:left="0"/>
                  </w:pPr>
                  <w:r>
                    <w:t>Athletics &amp; Recreational Sports</w:t>
                  </w:r>
                </w:p>
              </w:tc>
              <w:tc>
                <w:tcPr>
                  <w:tcW w:w="1138" w:type="dxa"/>
                </w:tcPr>
                <w:p w:rsidR="00626ED0" w:rsidRDefault="00626ED0" w:rsidP="00626ED0">
                  <w:pPr>
                    <w:pStyle w:val="ListParagraph"/>
                    <w:ind w:left="0"/>
                    <w:jc w:val="right"/>
                  </w:pPr>
                  <w:r>
                    <w:t>$</w:t>
                  </w:r>
                  <w:r w:rsidR="003B7F72">
                    <w:t>4.9</w:t>
                  </w:r>
                </w:p>
              </w:tc>
              <w:tc>
                <w:tcPr>
                  <w:tcW w:w="1219" w:type="dxa"/>
                </w:tcPr>
                <w:p w:rsidR="00626ED0" w:rsidRDefault="003B7F72" w:rsidP="00626ED0">
                  <w:pPr>
                    <w:pStyle w:val="ListParagraph"/>
                    <w:ind w:left="0"/>
                    <w:jc w:val="right"/>
                  </w:pPr>
                  <w:r>
                    <w:t>3</w:t>
                  </w:r>
                  <w:r w:rsidR="00626ED0">
                    <w:t>%</w:t>
                  </w:r>
                </w:p>
              </w:tc>
            </w:tr>
            <w:tr w:rsidR="00626ED0" w:rsidTr="009F1F3D">
              <w:tc>
                <w:tcPr>
                  <w:tcW w:w="4202" w:type="dxa"/>
                </w:tcPr>
                <w:p w:rsidR="00626ED0" w:rsidRDefault="00626ED0" w:rsidP="00626ED0">
                  <w:pPr>
                    <w:pStyle w:val="ListParagraph"/>
                    <w:ind w:left="0"/>
                  </w:pPr>
                  <w:r>
                    <w:t>University Housing &amp; Dining</w:t>
                  </w:r>
                </w:p>
              </w:tc>
              <w:tc>
                <w:tcPr>
                  <w:tcW w:w="1138" w:type="dxa"/>
                </w:tcPr>
                <w:p w:rsidR="00626ED0" w:rsidRDefault="00626ED0" w:rsidP="00626ED0">
                  <w:pPr>
                    <w:pStyle w:val="ListParagraph"/>
                    <w:ind w:left="0"/>
                    <w:jc w:val="right"/>
                  </w:pPr>
                  <w:r>
                    <w:t>$1</w:t>
                  </w:r>
                  <w:r w:rsidR="003B7F72">
                    <w:t>7.3</w:t>
                  </w:r>
                </w:p>
              </w:tc>
              <w:tc>
                <w:tcPr>
                  <w:tcW w:w="1219" w:type="dxa"/>
                </w:tcPr>
                <w:p w:rsidR="00626ED0" w:rsidRDefault="0043352E" w:rsidP="00626ED0">
                  <w:pPr>
                    <w:pStyle w:val="ListParagraph"/>
                    <w:ind w:left="0"/>
                    <w:jc w:val="right"/>
                  </w:pPr>
                  <w:r>
                    <w:t>12</w:t>
                  </w:r>
                  <w:r w:rsidR="00626ED0">
                    <w:t>%</w:t>
                  </w:r>
                </w:p>
              </w:tc>
            </w:tr>
            <w:tr w:rsidR="00626ED0" w:rsidTr="009F1F3D">
              <w:tc>
                <w:tcPr>
                  <w:tcW w:w="4202" w:type="dxa"/>
                </w:tcPr>
                <w:p w:rsidR="00626ED0" w:rsidRDefault="00626ED0" w:rsidP="00626ED0">
                  <w:pPr>
                    <w:pStyle w:val="ListParagraph"/>
                    <w:ind w:left="0"/>
                  </w:pPr>
                  <w:r>
                    <w:t>University Center</w:t>
                  </w:r>
                </w:p>
              </w:tc>
              <w:tc>
                <w:tcPr>
                  <w:tcW w:w="1138" w:type="dxa"/>
                </w:tcPr>
                <w:p w:rsidR="00626ED0" w:rsidRDefault="00626ED0" w:rsidP="00626ED0">
                  <w:pPr>
                    <w:pStyle w:val="ListParagraph"/>
                    <w:ind w:left="0"/>
                    <w:jc w:val="right"/>
                  </w:pPr>
                  <w:r>
                    <w:t>$</w:t>
                  </w:r>
                  <w:r w:rsidR="003B7F72">
                    <w:t>4.1</w:t>
                  </w:r>
                </w:p>
              </w:tc>
              <w:tc>
                <w:tcPr>
                  <w:tcW w:w="1219" w:type="dxa"/>
                </w:tcPr>
                <w:p w:rsidR="00626ED0" w:rsidRDefault="00626ED0" w:rsidP="00626ED0">
                  <w:pPr>
                    <w:pStyle w:val="ListParagraph"/>
                    <w:ind w:left="0"/>
                    <w:jc w:val="right"/>
                  </w:pPr>
                  <w:r>
                    <w:t>3%</w:t>
                  </w:r>
                </w:p>
              </w:tc>
            </w:tr>
            <w:tr w:rsidR="00626ED0" w:rsidTr="009F1F3D">
              <w:tc>
                <w:tcPr>
                  <w:tcW w:w="4202" w:type="dxa"/>
                </w:tcPr>
                <w:p w:rsidR="00626ED0" w:rsidRDefault="00626ED0" w:rsidP="00626ED0">
                  <w:pPr>
                    <w:pStyle w:val="ListParagraph"/>
                    <w:ind w:left="0"/>
                  </w:pPr>
                  <w:r>
                    <w:t>Other Student Affairs Units</w:t>
                  </w:r>
                </w:p>
              </w:tc>
              <w:tc>
                <w:tcPr>
                  <w:tcW w:w="1138" w:type="dxa"/>
                </w:tcPr>
                <w:p w:rsidR="00626ED0" w:rsidRDefault="00626ED0" w:rsidP="00626ED0">
                  <w:pPr>
                    <w:pStyle w:val="ListParagraph"/>
                    <w:ind w:left="0"/>
                    <w:jc w:val="right"/>
                  </w:pPr>
                  <w:r>
                    <w:t>$3</w:t>
                  </w:r>
                  <w:r w:rsidR="003B7F72">
                    <w:t>.5</w:t>
                  </w:r>
                </w:p>
              </w:tc>
              <w:tc>
                <w:tcPr>
                  <w:tcW w:w="1219" w:type="dxa"/>
                </w:tcPr>
                <w:p w:rsidR="00626ED0" w:rsidRDefault="00626ED0" w:rsidP="00626ED0">
                  <w:pPr>
                    <w:pStyle w:val="ListParagraph"/>
                    <w:ind w:left="0"/>
                    <w:jc w:val="right"/>
                  </w:pPr>
                  <w:r>
                    <w:t>2%</w:t>
                  </w:r>
                </w:p>
              </w:tc>
            </w:tr>
            <w:tr w:rsidR="00626ED0" w:rsidTr="009F1F3D">
              <w:tc>
                <w:tcPr>
                  <w:tcW w:w="4202" w:type="dxa"/>
                </w:tcPr>
                <w:p w:rsidR="00626ED0" w:rsidRPr="00BF6275" w:rsidRDefault="00626ED0" w:rsidP="00626ED0">
                  <w:pPr>
                    <w:pStyle w:val="ListParagraph"/>
                    <w:ind w:left="0"/>
                    <w:rPr>
                      <w:b/>
                    </w:rPr>
                  </w:pPr>
                  <w:r w:rsidRPr="00BF6275">
                    <w:rPr>
                      <w:b/>
                    </w:rPr>
                    <w:t>Subtotal</w:t>
                  </w:r>
                </w:p>
              </w:tc>
              <w:tc>
                <w:tcPr>
                  <w:tcW w:w="1138" w:type="dxa"/>
                </w:tcPr>
                <w:p w:rsidR="00626ED0" w:rsidRPr="004A40F2" w:rsidRDefault="00626ED0" w:rsidP="00626ED0">
                  <w:pPr>
                    <w:pStyle w:val="ListParagraph"/>
                    <w:ind w:left="0"/>
                    <w:jc w:val="right"/>
                    <w:rPr>
                      <w:b/>
                    </w:rPr>
                  </w:pPr>
                  <w:r w:rsidRPr="004A40F2">
                    <w:rPr>
                      <w:b/>
                    </w:rPr>
                    <w:t>$2</w:t>
                  </w:r>
                  <w:r w:rsidR="003B7F72">
                    <w:rPr>
                      <w:b/>
                    </w:rPr>
                    <w:t>9.8</w:t>
                  </w:r>
                </w:p>
              </w:tc>
              <w:tc>
                <w:tcPr>
                  <w:tcW w:w="1219" w:type="dxa"/>
                </w:tcPr>
                <w:p w:rsidR="00626ED0" w:rsidRPr="004A40F2" w:rsidRDefault="00626ED0" w:rsidP="00626ED0">
                  <w:pPr>
                    <w:pStyle w:val="ListParagraph"/>
                    <w:ind w:left="0"/>
                    <w:jc w:val="right"/>
                    <w:rPr>
                      <w:b/>
                    </w:rPr>
                  </w:pPr>
                  <w:r w:rsidRPr="004A40F2">
                    <w:rPr>
                      <w:b/>
                    </w:rPr>
                    <w:t>20%</w:t>
                  </w:r>
                </w:p>
              </w:tc>
            </w:tr>
            <w:tr w:rsidR="00626ED0" w:rsidTr="009F1F3D">
              <w:tc>
                <w:tcPr>
                  <w:tcW w:w="4202" w:type="dxa"/>
                </w:tcPr>
                <w:p w:rsidR="00626ED0" w:rsidRDefault="00626ED0" w:rsidP="00626ED0">
                  <w:pPr>
                    <w:pStyle w:val="ListParagraph"/>
                    <w:ind w:left="0"/>
                  </w:pPr>
                </w:p>
              </w:tc>
              <w:tc>
                <w:tcPr>
                  <w:tcW w:w="1138" w:type="dxa"/>
                </w:tcPr>
                <w:p w:rsidR="00626ED0" w:rsidRDefault="00626ED0" w:rsidP="00626ED0">
                  <w:pPr>
                    <w:pStyle w:val="ListParagraph"/>
                    <w:ind w:left="0"/>
                    <w:jc w:val="right"/>
                  </w:pPr>
                </w:p>
              </w:tc>
              <w:tc>
                <w:tcPr>
                  <w:tcW w:w="1219" w:type="dxa"/>
                </w:tcPr>
                <w:p w:rsidR="00626ED0" w:rsidRDefault="00626ED0" w:rsidP="00626ED0">
                  <w:pPr>
                    <w:pStyle w:val="ListParagraph"/>
                    <w:ind w:left="0"/>
                    <w:jc w:val="right"/>
                  </w:pPr>
                </w:p>
              </w:tc>
            </w:tr>
            <w:tr w:rsidR="00626ED0" w:rsidTr="009F1F3D">
              <w:tc>
                <w:tcPr>
                  <w:tcW w:w="4202" w:type="dxa"/>
                </w:tcPr>
                <w:p w:rsidR="00626ED0" w:rsidRPr="00190F93" w:rsidRDefault="00626ED0" w:rsidP="00626ED0">
                  <w:pPr>
                    <w:pStyle w:val="ListParagraph"/>
                    <w:ind w:left="0"/>
                    <w:rPr>
                      <w:b/>
                    </w:rPr>
                  </w:pPr>
                  <w:r w:rsidRPr="00190F93">
                    <w:rPr>
                      <w:b/>
                    </w:rPr>
                    <w:t>Support Units</w:t>
                  </w:r>
                </w:p>
              </w:tc>
              <w:tc>
                <w:tcPr>
                  <w:tcW w:w="1138" w:type="dxa"/>
                </w:tcPr>
                <w:p w:rsidR="00626ED0" w:rsidRDefault="00626ED0" w:rsidP="00626ED0">
                  <w:pPr>
                    <w:pStyle w:val="ListParagraph"/>
                    <w:ind w:left="0"/>
                    <w:jc w:val="right"/>
                  </w:pPr>
                </w:p>
              </w:tc>
              <w:tc>
                <w:tcPr>
                  <w:tcW w:w="1219" w:type="dxa"/>
                </w:tcPr>
                <w:p w:rsidR="00626ED0" w:rsidRDefault="00626ED0" w:rsidP="00626ED0">
                  <w:pPr>
                    <w:pStyle w:val="ListParagraph"/>
                    <w:ind w:left="0"/>
                    <w:jc w:val="right"/>
                  </w:pPr>
                </w:p>
              </w:tc>
            </w:tr>
            <w:tr w:rsidR="00626ED0" w:rsidTr="009F1F3D">
              <w:tc>
                <w:tcPr>
                  <w:tcW w:w="4202" w:type="dxa"/>
                </w:tcPr>
                <w:p w:rsidR="00626ED0" w:rsidRDefault="00626ED0" w:rsidP="00626ED0">
                  <w:pPr>
                    <w:pStyle w:val="ListParagraph"/>
                    <w:ind w:left="0"/>
                  </w:pPr>
                  <w:r>
                    <w:t>Facilities</w:t>
                  </w:r>
                </w:p>
              </w:tc>
              <w:tc>
                <w:tcPr>
                  <w:tcW w:w="1138" w:type="dxa"/>
                </w:tcPr>
                <w:p w:rsidR="00626ED0" w:rsidRDefault="00626ED0" w:rsidP="00626ED0">
                  <w:pPr>
                    <w:pStyle w:val="ListParagraph"/>
                    <w:ind w:left="0"/>
                    <w:jc w:val="right"/>
                  </w:pPr>
                  <w:r>
                    <w:t>$8.</w:t>
                  </w:r>
                  <w:r w:rsidR="0043352E">
                    <w:t>3</w:t>
                  </w:r>
                </w:p>
              </w:tc>
              <w:tc>
                <w:tcPr>
                  <w:tcW w:w="1219" w:type="dxa"/>
                </w:tcPr>
                <w:p w:rsidR="00626ED0" w:rsidRDefault="0043352E" w:rsidP="00626ED0">
                  <w:pPr>
                    <w:pStyle w:val="ListParagraph"/>
                    <w:ind w:left="0"/>
                    <w:jc w:val="right"/>
                  </w:pPr>
                  <w:r>
                    <w:t>5</w:t>
                  </w:r>
                  <w:r w:rsidR="00626ED0">
                    <w:t>%</w:t>
                  </w:r>
                </w:p>
              </w:tc>
            </w:tr>
            <w:tr w:rsidR="00626ED0" w:rsidTr="009F1F3D">
              <w:tc>
                <w:tcPr>
                  <w:tcW w:w="4202" w:type="dxa"/>
                </w:tcPr>
                <w:p w:rsidR="00626ED0" w:rsidRDefault="00626ED0" w:rsidP="00626ED0">
                  <w:pPr>
                    <w:pStyle w:val="ListParagraph"/>
                    <w:ind w:left="0"/>
                  </w:pPr>
                  <w:r>
                    <w:t>Information Technology</w:t>
                  </w:r>
                </w:p>
              </w:tc>
              <w:tc>
                <w:tcPr>
                  <w:tcW w:w="1138" w:type="dxa"/>
                </w:tcPr>
                <w:p w:rsidR="00626ED0" w:rsidRDefault="00626ED0" w:rsidP="00626ED0">
                  <w:pPr>
                    <w:pStyle w:val="ListParagraph"/>
                    <w:ind w:left="0"/>
                    <w:jc w:val="right"/>
                  </w:pPr>
                  <w:r>
                    <w:t>$</w:t>
                  </w:r>
                  <w:r w:rsidR="0043352E">
                    <w:t>6.2</w:t>
                  </w:r>
                </w:p>
              </w:tc>
              <w:tc>
                <w:tcPr>
                  <w:tcW w:w="1219" w:type="dxa"/>
                </w:tcPr>
                <w:p w:rsidR="00626ED0" w:rsidRDefault="00626ED0" w:rsidP="00626ED0">
                  <w:pPr>
                    <w:pStyle w:val="ListParagraph"/>
                    <w:ind w:left="0"/>
                    <w:jc w:val="right"/>
                  </w:pPr>
                  <w:r>
                    <w:t>4%</w:t>
                  </w:r>
                </w:p>
              </w:tc>
            </w:tr>
            <w:tr w:rsidR="00626ED0" w:rsidTr="009F1F3D">
              <w:tc>
                <w:tcPr>
                  <w:tcW w:w="4202" w:type="dxa"/>
                </w:tcPr>
                <w:p w:rsidR="00626ED0" w:rsidRDefault="00626ED0" w:rsidP="00626ED0">
                  <w:pPr>
                    <w:pStyle w:val="ListParagraph"/>
                    <w:ind w:left="0"/>
                  </w:pPr>
                  <w:r>
                    <w:t>Academic Affairs</w:t>
                  </w:r>
                </w:p>
              </w:tc>
              <w:tc>
                <w:tcPr>
                  <w:tcW w:w="1138" w:type="dxa"/>
                </w:tcPr>
                <w:p w:rsidR="00626ED0" w:rsidRDefault="00626ED0" w:rsidP="00626ED0">
                  <w:pPr>
                    <w:pStyle w:val="ListParagraph"/>
                    <w:ind w:left="0"/>
                    <w:jc w:val="right"/>
                  </w:pPr>
                  <w:r>
                    <w:t>$7.</w:t>
                  </w:r>
                  <w:r w:rsidR="0043352E">
                    <w:t>6</w:t>
                  </w:r>
                </w:p>
              </w:tc>
              <w:tc>
                <w:tcPr>
                  <w:tcW w:w="1219" w:type="dxa"/>
                </w:tcPr>
                <w:p w:rsidR="00626ED0" w:rsidRDefault="0043352E" w:rsidP="00626ED0">
                  <w:pPr>
                    <w:pStyle w:val="ListParagraph"/>
                    <w:ind w:left="0"/>
                    <w:jc w:val="right"/>
                  </w:pPr>
                  <w:r>
                    <w:t>5</w:t>
                  </w:r>
                  <w:r w:rsidR="00626ED0">
                    <w:t>%</w:t>
                  </w:r>
                </w:p>
              </w:tc>
            </w:tr>
            <w:tr w:rsidR="00626ED0" w:rsidTr="009F1F3D">
              <w:tc>
                <w:tcPr>
                  <w:tcW w:w="4202" w:type="dxa"/>
                </w:tcPr>
                <w:p w:rsidR="00626ED0" w:rsidRDefault="00626ED0" w:rsidP="00626ED0">
                  <w:pPr>
                    <w:pStyle w:val="ListParagraph"/>
                    <w:ind w:left="0"/>
                  </w:pPr>
                  <w:r>
                    <w:t>International Programs</w:t>
                  </w:r>
                </w:p>
              </w:tc>
              <w:tc>
                <w:tcPr>
                  <w:tcW w:w="1138" w:type="dxa"/>
                </w:tcPr>
                <w:p w:rsidR="00626ED0" w:rsidRDefault="00626ED0" w:rsidP="00626ED0">
                  <w:pPr>
                    <w:pStyle w:val="ListParagraph"/>
                    <w:ind w:left="0"/>
                    <w:jc w:val="right"/>
                  </w:pPr>
                  <w:r>
                    <w:t>$2.</w:t>
                  </w:r>
                  <w:r w:rsidR="0043352E">
                    <w:t>7</w:t>
                  </w:r>
                </w:p>
              </w:tc>
              <w:tc>
                <w:tcPr>
                  <w:tcW w:w="1219" w:type="dxa"/>
                </w:tcPr>
                <w:p w:rsidR="00626ED0" w:rsidRDefault="0043352E" w:rsidP="00626ED0">
                  <w:pPr>
                    <w:pStyle w:val="ListParagraph"/>
                    <w:ind w:left="0"/>
                    <w:jc w:val="right"/>
                  </w:pPr>
                  <w:r>
                    <w:t>2</w:t>
                  </w:r>
                  <w:r w:rsidR="00626ED0">
                    <w:t>%</w:t>
                  </w:r>
                </w:p>
              </w:tc>
            </w:tr>
            <w:tr w:rsidR="00626ED0" w:rsidTr="009F1F3D">
              <w:tc>
                <w:tcPr>
                  <w:tcW w:w="4202" w:type="dxa"/>
                </w:tcPr>
                <w:p w:rsidR="00626ED0" w:rsidRDefault="00626ED0" w:rsidP="00626ED0">
                  <w:pPr>
                    <w:pStyle w:val="ListParagraph"/>
                    <w:ind w:left="0"/>
                  </w:pPr>
                  <w:r>
                    <w:t>Library</w:t>
                  </w:r>
                </w:p>
              </w:tc>
              <w:tc>
                <w:tcPr>
                  <w:tcW w:w="1138" w:type="dxa"/>
                </w:tcPr>
                <w:p w:rsidR="00626ED0" w:rsidRDefault="00626ED0" w:rsidP="00626ED0">
                  <w:pPr>
                    <w:pStyle w:val="ListParagraph"/>
                    <w:ind w:left="0"/>
                    <w:jc w:val="right"/>
                  </w:pPr>
                  <w:r>
                    <w:t>$2.</w:t>
                  </w:r>
                  <w:r w:rsidR="0043352E">
                    <w:t>4</w:t>
                  </w:r>
                </w:p>
              </w:tc>
              <w:tc>
                <w:tcPr>
                  <w:tcW w:w="1219" w:type="dxa"/>
                </w:tcPr>
                <w:p w:rsidR="00626ED0" w:rsidRDefault="0043352E" w:rsidP="00626ED0">
                  <w:pPr>
                    <w:pStyle w:val="ListParagraph"/>
                    <w:ind w:left="0"/>
                    <w:jc w:val="right"/>
                  </w:pPr>
                  <w:r>
                    <w:t>1</w:t>
                  </w:r>
                  <w:r w:rsidR="00626ED0">
                    <w:t>%</w:t>
                  </w:r>
                </w:p>
              </w:tc>
            </w:tr>
            <w:tr w:rsidR="00626ED0" w:rsidTr="009F1F3D">
              <w:tc>
                <w:tcPr>
                  <w:tcW w:w="4202" w:type="dxa"/>
                </w:tcPr>
                <w:p w:rsidR="00626ED0" w:rsidRDefault="00626ED0" w:rsidP="00626ED0">
                  <w:pPr>
                    <w:pStyle w:val="ListParagraph"/>
                    <w:ind w:left="0"/>
                  </w:pPr>
                  <w:r>
                    <w:t xml:space="preserve">Business Services </w:t>
                  </w:r>
                </w:p>
              </w:tc>
              <w:tc>
                <w:tcPr>
                  <w:tcW w:w="1138" w:type="dxa"/>
                </w:tcPr>
                <w:p w:rsidR="00626ED0" w:rsidRDefault="00626ED0" w:rsidP="00626ED0">
                  <w:pPr>
                    <w:pStyle w:val="ListParagraph"/>
                    <w:ind w:left="0"/>
                    <w:jc w:val="right"/>
                  </w:pPr>
                  <w:r>
                    <w:t>$</w:t>
                  </w:r>
                  <w:r w:rsidR="0043352E">
                    <w:t>7.0</w:t>
                  </w:r>
                </w:p>
              </w:tc>
              <w:tc>
                <w:tcPr>
                  <w:tcW w:w="1219" w:type="dxa"/>
                </w:tcPr>
                <w:p w:rsidR="00626ED0" w:rsidRDefault="0043352E" w:rsidP="00626ED0">
                  <w:pPr>
                    <w:pStyle w:val="ListParagraph"/>
                    <w:ind w:left="0"/>
                    <w:jc w:val="right"/>
                  </w:pPr>
                  <w:r>
                    <w:t>5</w:t>
                  </w:r>
                  <w:r w:rsidR="00626ED0">
                    <w:t>%</w:t>
                  </w:r>
                </w:p>
              </w:tc>
            </w:tr>
            <w:tr w:rsidR="00626ED0" w:rsidTr="009F1F3D">
              <w:tc>
                <w:tcPr>
                  <w:tcW w:w="4202" w:type="dxa"/>
                </w:tcPr>
                <w:p w:rsidR="00626ED0" w:rsidRDefault="00626ED0" w:rsidP="00626ED0">
                  <w:pPr>
                    <w:pStyle w:val="ListParagraph"/>
                    <w:ind w:left="0"/>
                  </w:pPr>
                  <w:r>
                    <w:t>General Administration</w:t>
                  </w:r>
                </w:p>
              </w:tc>
              <w:tc>
                <w:tcPr>
                  <w:tcW w:w="1138" w:type="dxa"/>
                </w:tcPr>
                <w:p w:rsidR="00626ED0" w:rsidRDefault="00626ED0" w:rsidP="00626ED0">
                  <w:pPr>
                    <w:pStyle w:val="ListParagraph"/>
                    <w:ind w:left="0"/>
                    <w:jc w:val="right"/>
                  </w:pPr>
                  <w:r>
                    <w:t>$</w:t>
                  </w:r>
                  <w:r w:rsidR="0043352E">
                    <w:t>2.6</w:t>
                  </w:r>
                </w:p>
              </w:tc>
              <w:tc>
                <w:tcPr>
                  <w:tcW w:w="1219" w:type="dxa"/>
                </w:tcPr>
                <w:p w:rsidR="00626ED0" w:rsidRDefault="0043352E" w:rsidP="00626ED0">
                  <w:pPr>
                    <w:pStyle w:val="ListParagraph"/>
                    <w:ind w:left="0"/>
                    <w:jc w:val="right"/>
                  </w:pPr>
                  <w:r>
                    <w:t>2</w:t>
                  </w:r>
                  <w:r w:rsidR="00626ED0">
                    <w:t>%</w:t>
                  </w:r>
                </w:p>
              </w:tc>
            </w:tr>
            <w:tr w:rsidR="00626ED0" w:rsidTr="009F1F3D">
              <w:tc>
                <w:tcPr>
                  <w:tcW w:w="4202" w:type="dxa"/>
                </w:tcPr>
                <w:p w:rsidR="00626ED0" w:rsidRDefault="00626ED0" w:rsidP="00626ED0">
                  <w:pPr>
                    <w:pStyle w:val="ListParagraph"/>
                    <w:ind w:left="0"/>
                  </w:pPr>
                  <w:r>
                    <w:t>University Advancement</w:t>
                  </w:r>
                </w:p>
              </w:tc>
              <w:tc>
                <w:tcPr>
                  <w:tcW w:w="1138" w:type="dxa"/>
                </w:tcPr>
                <w:p w:rsidR="00626ED0" w:rsidRDefault="00626ED0" w:rsidP="00626ED0">
                  <w:pPr>
                    <w:pStyle w:val="ListParagraph"/>
                    <w:ind w:left="0"/>
                    <w:jc w:val="right"/>
                  </w:pPr>
                  <w:r>
                    <w:t>$0.</w:t>
                  </w:r>
                  <w:r w:rsidR="0043352E">
                    <w:t>8</w:t>
                  </w:r>
                </w:p>
              </w:tc>
              <w:tc>
                <w:tcPr>
                  <w:tcW w:w="1219" w:type="dxa"/>
                </w:tcPr>
                <w:p w:rsidR="00626ED0" w:rsidRDefault="00626ED0" w:rsidP="00626ED0">
                  <w:pPr>
                    <w:pStyle w:val="ListParagraph"/>
                    <w:ind w:left="0"/>
                    <w:jc w:val="right"/>
                  </w:pPr>
                  <w:r>
                    <w:t>1%</w:t>
                  </w:r>
                </w:p>
              </w:tc>
            </w:tr>
            <w:tr w:rsidR="00626ED0" w:rsidTr="009F1F3D">
              <w:tc>
                <w:tcPr>
                  <w:tcW w:w="4202" w:type="dxa"/>
                </w:tcPr>
                <w:p w:rsidR="00626ED0" w:rsidRPr="00BF6275" w:rsidRDefault="00626ED0" w:rsidP="00626ED0">
                  <w:pPr>
                    <w:pStyle w:val="ListParagraph"/>
                    <w:ind w:left="0"/>
                    <w:rPr>
                      <w:b/>
                    </w:rPr>
                  </w:pPr>
                  <w:r w:rsidRPr="00BF6275">
                    <w:rPr>
                      <w:b/>
                    </w:rPr>
                    <w:t>Subtotal</w:t>
                  </w:r>
                </w:p>
              </w:tc>
              <w:tc>
                <w:tcPr>
                  <w:tcW w:w="1138" w:type="dxa"/>
                </w:tcPr>
                <w:p w:rsidR="00626ED0" w:rsidRPr="00BF6275" w:rsidRDefault="00626ED0" w:rsidP="00626ED0">
                  <w:pPr>
                    <w:pStyle w:val="ListParagraph"/>
                    <w:ind w:left="0"/>
                    <w:jc w:val="right"/>
                    <w:rPr>
                      <w:b/>
                    </w:rPr>
                  </w:pPr>
                  <w:r>
                    <w:rPr>
                      <w:b/>
                    </w:rPr>
                    <w:t>$3</w:t>
                  </w:r>
                  <w:r w:rsidR="0043352E">
                    <w:rPr>
                      <w:b/>
                    </w:rPr>
                    <w:t>7.6</w:t>
                  </w:r>
                </w:p>
              </w:tc>
              <w:tc>
                <w:tcPr>
                  <w:tcW w:w="1219" w:type="dxa"/>
                </w:tcPr>
                <w:p w:rsidR="00626ED0" w:rsidRPr="004A40F2" w:rsidRDefault="00626ED0" w:rsidP="00626ED0">
                  <w:pPr>
                    <w:pStyle w:val="ListParagraph"/>
                    <w:ind w:left="0"/>
                    <w:jc w:val="right"/>
                    <w:rPr>
                      <w:b/>
                    </w:rPr>
                  </w:pPr>
                  <w:r w:rsidRPr="004A40F2">
                    <w:rPr>
                      <w:b/>
                    </w:rPr>
                    <w:t>2</w:t>
                  </w:r>
                  <w:r w:rsidR="0043352E">
                    <w:rPr>
                      <w:b/>
                    </w:rPr>
                    <w:t>5</w:t>
                  </w:r>
                  <w:r w:rsidRPr="004A40F2">
                    <w:rPr>
                      <w:b/>
                    </w:rPr>
                    <w:t>%</w:t>
                  </w:r>
                </w:p>
              </w:tc>
            </w:tr>
            <w:tr w:rsidR="00626ED0" w:rsidTr="009F1F3D">
              <w:tc>
                <w:tcPr>
                  <w:tcW w:w="4202" w:type="dxa"/>
                </w:tcPr>
                <w:p w:rsidR="00626ED0" w:rsidRDefault="00626ED0" w:rsidP="00626ED0">
                  <w:pPr>
                    <w:pStyle w:val="ListParagraph"/>
                    <w:ind w:left="0"/>
                  </w:pPr>
                </w:p>
              </w:tc>
              <w:tc>
                <w:tcPr>
                  <w:tcW w:w="1138" w:type="dxa"/>
                </w:tcPr>
                <w:p w:rsidR="00626ED0" w:rsidRDefault="00626ED0" w:rsidP="00626ED0">
                  <w:pPr>
                    <w:pStyle w:val="ListParagraph"/>
                    <w:ind w:left="0"/>
                    <w:jc w:val="right"/>
                  </w:pPr>
                </w:p>
              </w:tc>
              <w:tc>
                <w:tcPr>
                  <w:tcW w:w="1219" w:type="dxa"/>
                </w:tcPr>
                <w:p w:rsidR="00626ED0" w:rsidRDefault="00626ED0" w:rsidP="00626ED0">
                  <w:pPr>
                    <w:pStyle w:val="ListParagraph"/>
                    <w:ind w:left="0"/>
                    <w:jc w:val="right"/>
                  </w:pPr>
                </w:p>
              </w:tc>
            </w:tr>
            <w:tr w:rsidR="00626ED0" w:rsidTr="009F1F3D">
              <w:tc>
                <w:tcPr>
                  <w:tcW w:w="4202" w:type="dxa"/>
                </w:tcPr>
                <w:p w:rsidR="00626ED0" w:rsidRDefault="00626ED0" w:rsidP="00626ED0">
                  <w:pPr>
                    <w:pStyle w:val="ListParagraph"/>
                    <w:ind w:left="0"/>
                  </w:pPr>
                  <w:r>
                    <w:t>Student Financial Aid &amp; Scholarships</w:t>
                  </w:r>
                </w:p>
              </w:tc>
              <w:tc>
                <w:tcPr>
                  <w:tcW w:w="1138" w:type="dxa"/>
                </w:tcPr>
                <w:p w:rsidR="00626ED0" w:rsidRDefault="00626ED0" w:rsidP="00626ED0">
                  <w:pPr>
                    <w:pStyle w:val="ListParagraph"/>
                    <w:ind w:left="0"/>
                    <w:jc w:val="right"/>
                  </w:pPr>
                  <w:r>
                    <w:t>$3</w:t>
                  </w:r>
                  <w:r w:rsidR="0043352E">
                    <w:t>7.0</w:t>
                  </w:r>
                </w:p>
              </w:tc>
              <w:tc>
                <w:tcPr>
                  <w:tcW w:w="1219" w:type="dxa"/>
                </w:tcPr>
                <w:p w:rsidR="00626ED0" w:rsidRPr="004A40F2" w:rsidRDefault="00626ED0" w:rsidP="00626ED0">
                  <w:pPr>
                    <w:pStyle w:val="ListParagraph"/>
                    <w:ind w:left="0"/>
                    <w:jc w:val="right"/>
                    <w:rPr>
                      <w:b/>
                    </w:rPr>
                  </w:pPr>
                  <w:r>
                    <w:rPr>
                      <w:b/>
                    </w:rPr>
                    <w:t>2</w:t>
                  </w:r>
                  <w:r w:rsidR="0043352E">
                    <w:rPr>
                      <w:b/>
                    </w:rPr>
                    <w:t>5</w:t>
                  </w:r>
                  <w:r w:rsidRPr="004A40F2">
                    <w:rPr>
                      <w:b/>
                    </w:rPr>
                    <w:t>%</w:t>
                  </w:r>
                </w:p>
              </w:tc>
            </w:tr>
            <w:tr w:rsidR="00626ED0" w:rsidTr="009F1F3D">
              <w:tc>
                <w:tcPr>
                  <w:tcW w:w="4202" w:type="dxa"/>
                </w:tcPr>
                <w:p w:rsidR="00626ED0" w:rsidRDefault="00626ED0" w:rsidP="00626ED0">
                  <w:pPr>
                    <w:pStyle w:val="ListParagraph"/>
                    <w:ind w:left="0"/>
                  </w:pPr>
                  <w:r>
                    <w:t>Debt Service</w:t>
                  </w:r>
                </w:p>
              </w:tc>
              <w:tc>
                <w:tcPr>
                  <w:tcW w:w="1138" w:type="dxa"/>
                </w:tcPr>
                <w:p w:rsidR="00626ED0" w:rsidRDefault="00626ED0" w:rsidP="00626ED0">
                  <w:pPr>
                    <w:pStyle w:val="ListParagraph"/>
                    <w:ind w:left="0"/>
                    <w:jc w:val="right"/>
                  </w:pPr>
                  <w:r>
                    <w:t>$8.1</w:t>
                  </w:r>
                </w:p>
              </w:tc>
              <w:tc>
                <w:tcPr>
                  <w:tcW w:w="1219" w:type="dxa"/>
                </w:tcPr>
                <w:p w:rsidR="00626ED0" w:rsidRPr="004A40F2" w:rsidRDefault="00626ED0" w:rsidP="00626ED0">
                  <w:pPr>
                    <w:pStyle w:val="ListParagraph"/>
                    <w:ind w:left="0"/>
                    <w:jc w:val="right"/>
                    <w:rPr>
                      <w:b/>
                    </w:rPr>
                  </w:pPr>
                  <w:r w:rsidRPr="004A40F2">
                    <w:rPr>
                      <w:b/>
                    </w:rPr>
                    <w:t>6%</w:t>
                  </w:r>
                </w:p>
              </w:tc>
            </w:tr>
            <w:tr w:rsidR="00626ED0" w:rsidTr="009F1F3D">
              <w:tc>
                <w:tcPr>
                  <w:tcW w:w="4202" w:type="dxa"/>
                </w:tcPr>
                <w:p w:rsidR="00626ED0" w:rsidRPr="00BF6275" w:rsidRDefault="00626ED0" w:rsidP="00626ED0">
                  <w:pPr>
                    <w:pStyle w:val="ListParagraph"/>
                    <w:ind w:left="0"/>
                    <w:rPr>
                      <w:b/>
                    </w:rPr>
                  </w:pPr>
                  <w:r w:rsidRPr="00BF6275">
                    <w:rPr>
                      <w:b/>
                    </w:rPr>
                    <w:t>Total</w:t>
                  </w:r>
                </w:p>
              </w:tc>
              <w:tc>
                <w:tcPr>
                  <w:tcW w:w="1138" w:type="dxa"/>
                </w:tcPr>
                <w:p w:rsidR="00626ED0" w:rsidRPr="00BF6275" w:rsidRDefault="00626ED0" w:rsidP="00626ED0">
                  <w:pPr>
                    <w:pStyle w:val="ListParagraph"/>
                    <w:ind w:left="0"/>
                    <w:jc w:val="right"/>
                    <w:rPr>
                      <w:b/>
                    </w:rPr>
                  </w:pPr>
                  <w:r>
                    <w:rPr>
                      <w:b/>
                    </w:rPr>
                    <w:t>$14</w:t>
                  </w:r>
                  <w:r w:rsidR="0043352E">
                    <w:rPr>
                      <w:b/>
                    </w:rPr>
                    <w:t>8.3</w:t>
                  </w:r>
                </w:p>
              </w:tc>
              <w:tc>
                <w:tcPr>
                  <w:tcW w:w="1219" w:type="dxa"/>
                </w:tcPr>
                <w:p w:rsidR="00626ED0" w:rsidRDefault="00626ED0" w:rsidP="00626ED0">
                  <w:pPr>
                    <w:pStyle w:val="ListParagraph"/>
                    <w:ind w:left="0"/>
                  </w:pPr>
                </w:p>
              </w:tc>
            </w:tr>
            <w:bookmarkEnd w:id="6"/>
          </w:tbl>
          <w:p w:rsidR="00A41EB9" w:rsidRDefault="00A41EB9" w:rsidP="00456233">
            <w:pPr>
              <w:ind w:right="-1290"/>
            </w:pPr>
          </w:p>
        </w:tc>
      </w:tr>
    </w:tbl>
    <w:p w:rsidR="00456233" w:rsidRDefault="00456233">
      <w:pPr>
        <w:sectPr w:rsidR="00456233" w:rsidSect="00456233">
          <w:footerReference w:type="first" r:id="rId19"/>
          <w:pgSz w:w="15840" w:h="12240" w:orient="landscape"/>
          <w:pgMar w:top="1440" w:right="720" w:bottom="1440" w:left="720" w:header="720" w:footer="720" w:gutter="0"/>
          <w:cols w:space="720"/>
          <w:titlePg/>
          <w:docGrid w:linePitch="360"/>
        </w:sectPr>
      </w:pPr>
    </w:p>
    <w:tbl>
      <w:tblPr>
        <w:tblStyle w:val="TableGrid"/>
        <w:tblW w:w="0" w:type="auto"/>
        <w:tblLook w:val="04A0" w:firstRow="1" w:lastRow="0" w:firstColumn="1" w:lastColumn="0" w:noHBand="0" w:noVBand="1"/>
      </w:tblPr>
      <w:tblGrid>
        <w:gridCol w:w="12950"/>
      </w:tblGrid>
      <w:tr w:rsidR="003B36AF" w:rsidTr="001C2D2E">
        <w:tc>
          <w:tcPr>
            <w:tcW w:w="12950" w:type="dxa"/>
            <w:tcBorders>
              <w:top w:val="nil"/>
              <w:left w:val="nil"/>
              <w:bottom w:val="nil"/>
              <w:right w:val="nil"/>
            </w:tcBorders>
          </w:tcPr>
          <w:p w:rsidR="003B36AF" w:rsidRDefault="005A1296" w:rsidP="003B36AF">
            <w:pPr>
              <w:pStyle w:val="Heading1"/>
              <w:outlineLvl w:val="0"/>
            </w:pPr>
            <w:bookmarkStart w:id="7" w:name="_Toc513535047"/>
            <w:r w:rsidRPr="005A1296">
              <w:rPr>
                <w:i/>
              </w:rPr>
              <w:lastRenderedPageBreak/>
              <w:t>ACTUAL</w:t>
            </w:r>
            <w:r>
              <w:t xml:space="preserve"> </w:t>
            </w:r>
            <w:r w:rsidR="003B36AF" w:rsidRPr="00DA12D8">
              <w:t>E</w:t>
            </w:r>
            <w:r w:rsidR="003B36AF">
              <w:t>XPENDITURES BY FUNCTIONAL CLASSIFICATION</w:t>
            </w:r>
            <w:r w:rsidR="003B36AF" w:rsidRPr="00DA12D8">
              <w:t xml:space="preserve"> FY 201</w:t>
            </w:r>
            <w:bookmarkEnd w:id="7"/>
            <w:r w:rsidR="00F70C66">
              <w:t>7-18</w:t>
            </w:r>
          </w:p>
          <w:p w:rsidR="003B36AF" w:rsidRPr="003B36AF" w:rsidRDefault="003B36AF" w:rsidP="003B36AF"/>
          <w:p w:rsidR="003B36AF" w:rsidRPr="001C2D2E" w:rsidRDefault="003B36AF" w:rsidP="003B36AF">
            <w:pPr>
              <w:rPr>
                <w:sz w:val="24"/>
              </w:rPr>
            </w:pPr>
            <w:r w:rsidRPr="001C2D2E">
              <w:rPr>
                <w:sz w:val="24"/>
              </w:rPr>
              <w:t xml:space="preserve">The five largest classifications of expenditures at UW-River Falls are financial aid, instruction, </w:t>
            </w:r>
            <w:r w:rsidR="00622733">
              <w:rPr>
                <w:sz w:val="24"/>
              </w:rPr>
              <w:t xml:space="preserve">student services, auxiliary enterprises, and </w:t>
            </w:r>
            <w:r w:rsidRPr="001C2D2E">
              <w:rPr>
                <w:sz w:val="24"/>
              </w:rPr>
              <w:t>operations/maintenance.  These five functions account for 8</w:t>
            </w:r>
            <w:r w:rsidR="00622733">
              <w:rPr>
                <w:sz w:val="24"/>
              </w:rPr>
              <w:t>4</w:t>
            </w:r>
            <w:r w:rsidRPr="001C2D2E">
              <w:rPr>
                <w:sz w:val="24"/>
              </w:rPr>
              <w:t xml:space="preserve"> percent of our total budget.</w:t>
            </w:r>
            <w:r w:rsidR="00733DBA">
              <w:rPr>
                <w:sz w:val="24"/>
              </w:rPr>
              <w:t xml:space="preserve"> Source: WISDM</w:t>
            </w:r>
          </w:p>
          <w:p w:rsidR="003B36AF" w:rsidRDefault="003B36AF" w:rsidP="003B36AF"/>
          <w:p w:rsidR="003B36AF" w:rsidRDefault="003B36AF" w:rsidP="003B36AF">
            <w:pPr>
              <w:jc w:val="center"/>
            </w:pPr>
          </w:p>
        </w:tc>
      </w:tr>
    </w:tbl>
    <w:p w:rsidR="002537F1" w:rsidRDefault="00FF25DC" w:rsidP="00CE28FA">
      <w:r>
        <w:rPr>
          <w:noProof/>
        </w:rPr>
        <w:drawing>
          <wp:inline distT="0" distB="0" distL="0" distR="0" wp14:anchorId="592BED6B" wp14:editId="056B66FB">
            <wp:extent cx="7331825" cy="4547062"/>
            <wp:effectExtent l="19050" t="19050" r="21590" b="25400"/>
            <wp:docPr id="6" name="Chart 6">
              <a:extLst xmlns:a="http://schemas.openxmlformats.org/drawingml/2006/main">
                <a:ext uri="{FF2B5EF4-FFF2-40B4-BE49-F238E27FC236}">
                  <a16:creationId xmlns:a16="http://schemas.microsoft.com/office/drawing/2014/main" id="{462DB278-3AB2-490F-897B-149108A197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0" w:type="auto"/>
        <w:tblLook w:val="04A0" w:firstRow="1" w:lastRow="0" w:firstColumn="1" w:lastColumn="0" w:noHBand="0" w:noVBand="1"/>
      </w:tblPr>
      <w:tblGrid>
        <w:gridCol w:w="12950"/>
      </w:tblGrid>
      <w:tr w:rsidR="00CE28FA" w:rsidTr="009703CE">
        <w:tc>
          <w:tcPr>
            <w:tcW w:w="12950" w:type="dxa"/>
            <w:tcBorders>
              <w:top w:val="nil"/>
              <w:left w:val="nil"/>
              <w:bottom w:val="nil"/>
              <w:right w:val="nil"/>
            </w:tcBorders>
          </w:tcPr>
          <w:p w:rsidR="00A83A17" w:rsidRPr="006F2BDC" w:rsidRDefault="00A83A17" w:rsidP="00A83A17">
            <w:pPr>
              <w:pStyle w:val="Heading1"/>
              <w:outlineLvl w:val="0"/>
            </w:pPr>
            <w:bookmarkStart w:id="8" w:name="_Toc513535048"/>
            <w:r>
              <w:lastRenderedPageBreak/>
              <w:t>YEAR-END FUND BALANCES</w:t>
            </w:r>
            <w:bookmarkEnd w:id="8"/>
            <w:r w:rsidR="005A1296">
              <w:t xml:space="preserve"> </w:t>
            </w:r>
            <w:r w:rsidR="005F135C">
              <w:t xml:space="preserve">- </w:t>
            </w:r>
            <w:r w:rsidR="005A1296">
              <w:t>FY 201</w:t>
            </w:r>
            <w:r w:rsidR="009703CE">
              <w:t>7</w:t>
            </w:r>
            <w:r w:rsidR="005A1296">
              <w:t>-1</w:t>
            </w:r>
            <w:r w:rsidR="009703CE">
              <w:t>8</w:t>
            </w:r>
          </w:p>
          <w:p w:rsidR="00A83A17" w:rsidRDefault="00A83A17" w:rsidP="00A83A17">
            <w:pPr>
              <w:pStyle w:val="ListParagraph"/>
              <w:ind w:left="0"/>
            </w:pPr>
          </w:p>
          <w:p w:rsidR="009903DE" w:rsidRDefault="00A83A17" w:rsidP="00A83A17">
            <w:pPr>
              <w:pStyle w:val="ListParagraph"/>
              <w:ind w:left="0"/>
              <w:rPr>
                <w:noProof/>
              </w:rPr>
            </w:pPr>
            <w:r>
              <w:t>Fund balances are a necessary component of a well-functioning university system.  Each year, using definitions developed by the Legislative Audit Bureau, UW-RF provides</w:t>
            </w:r>
            <w:r w:rsidR="005B672B">
              <w:t xml:space="preserve"> information</w:t>
            </w:r>
            <w:r>
              <w:t xml:space="preserve"> on program revenue fund balances by level of commitment.   Balances reflect the various intentions and plans and </w:t>
            </w:r>
            <w:r w:rsidR="007058B8">
              <w:t xml:space="preserve">are </w:t>
            </w:r>
            <w:r>
              <w:t>held for numerous purposes including, but not limited to, saving for large future purchases, new initiatives or p</w:t>
            </w:r>
            <w:r w:rsidR="00733DBA">
              <w:t>rogra</w:t>
            </w:r>
            <w:r>
              <w:t>ms, smoothing the effects of unexpected budgetary changes, and providing emergency reserves.</w:t>
            </w:r>
            <w:r w:rsidR="009703CE">
              <w:rPr>
                <w:noProof/>
              </w:rPr>
              <w:t xml:space="preserve"> </w:t>
            </w:r>
          </w:p>
          <w:p w:rsidR="00A83A17" w:rsidRDefault="00A83A17" w:rsidP="00A83A17">
            <w:pPr>
              <w:pStyle w:val="ListParagraph"/>
              <w:ind w:left="0"/>
            </w:pPr>
          </w:p>
          <w:p w:rsidR="00A83A17" w:rsidRDefault="00A83A17" w:rsidP="00A83A17">
            <w:pPr>
              <w:pStyle w:val="ListParagraph"/>
              <w:ind w:left="0"/>
            </w:pPr>
            <w:r>
              <w:t>More than 94 percent of the total fund balance is already committed to various university programs.  Committed balances are either obligated (held for a purpose that would be difficult to use for another purpose) or planned (held for purposes as indicated by a campus director or higher authority).</w:t>
            </w:r>
          </w:p>
          <w:p w:rsidR="00A83A17" w:rsidRDefault="009903DE" w:rsidP="00A83A17">
            <w:pPr>
              <w:pStyle w:val="ListParagraph"/>
              <w:ind w:left="0"/>
            </w:pPr>
            <w:r>
              <w:rPr>
                <w:noProof/>
              </w:rPr>
              <w:drawing>
                <wp:anchor distT="0" distB="0" distL="114300" distR="114300" simplePos="0" relativeHeight="251678720" behindDoc="0" locked="0" layoutInCell="1" allowOverlap="1" wp14:anchorId="065D589F">
                  <wp:simplePos x="0" y="0"/>
                  <wp:positionH relativeFrom="column">
                    <wp:posOffset>-2540</wp:posOffset>
                  </wp:positionH>
                  <wp:positionV relativeFrom="paragraph">
                    <wp:posOffset>117648</wp:posOffset>
                  </wp:positionV>
                  <wp:extent cx="6764020" cy="3402965"/>
                  <wp:effectExtent l="19050" t="19050" r="17780" b="26035"/>
                  <wp:wrapSquare wrapText="bothSides"/>
                  <wp:docPr id="8" name="Chart 8">
                    <a:extLst xmlns:a="http://schemas.openxmlformats.org/drawingml/2006/main">
                      <a:ext uri="{FF2B5EF4-FFF2-40B4-BE49-F238E27FC236}">
                        <a16:creationId xmlns:a16="http://schemas.microsoft.com/office/drawing/2014/main" id="{D61E4D49-8719-4D38-A599-C59C4C7722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CE28FA" w:rsidRDefault="00FA4BC7" w:rsidP="00A83A17">
            <w:pPr>
              <w:pStyle w:val="ListParagraph"/>
              <w:ind w:left="0"/>
            </w:pPr>
            <w:r>
              <w:t xml:space="preserve">Approximately </w:t>
            </w:r>
            <w:r w:rsidR="009903DE">
              <w:t>6.5</w:t>
            </w:r>
            <w:r w:rsidR="00A83A17">
              <w:t xml:space="preserve"> percent of our tuition balance is held in a reserve.  The reserve funds are used as a safeguard against revenue fluctuations caused by enrollment shifts</w:t>
            </w:r>
            <w:r w:rsidR="009903DE">
              <w:t>,</w:t>
            </w:r>
            <w:r w:rsidR="00A83A17">
              <w:t xml:space="preserve"> state budget cuts or to assist in the event of a disaster. </w:t>
            </w:r>
          </w:p>
        </w:tc>
      </w:tr>
    </w:tbl>
    <w:p w:rsidR="00CE28FA" w:rsidRDefault="00CE28FA" w:rsidP="00CE28FA"/>
    <w:tbl>
      <w:tblPr>
        <w:tblStyle w:val="TableGrid"/>
        <w:tblW w:w="0" w:type="auto"/>
        <w:tblLook w:val="04A0" w:firstRow="1" w:lastRow="0" w:firstColumn="1" w:lastColumn="0" w:noHBand="0" w:noVBand="1"/>
      </w:tblPr>
      <w:tblGrid>
        <w:gridCol w:w="12950"/>
      </w:tblGrid>
      <w:tr w:rsidR="00A83A17" w:rsidTr="006F373E">
        <w:tc>
          <w:tcPr>
            <w:tcW w:w="12950" w:type="dxa"/>
            <w:tcBorders>
              <w:top w:val="nil"/>
              <w:left w:val="nil"/>
              <w:bottom w:val="nil"/>
              <w:right w:val="nil"/>
            </w:tcBorders>
          </w:tcPr>
          <w:p w:rsidR="0031507E" w:rsidRDefault="0031507E" w:rsidP="0031507E">
            <w:pPr>
              <w:pStyle w:val="Heading1"/>
              <w:outlineLvl w:val="0"/>
            </w:pPr>
            <w:bookmarkStart w:id="9" w:name="_Toc513535049"/>
            <w:r>
              <w:lastRenderedPageBreak/>
              <w:t>FINANCIAL MANAGEMENT</w:t>
            </w:r>
            <w:bookmarkEnd w:id="9"/>
          </w:p>
          <w:p w:rsidR="0031507E" w:rsidRPr="0031507E" w:rsidRDefault="0031507E" w:rsidP="0031507E"/>
          <w:p w:rsidR="0031507E" w:rsidRPr="0031507E" w:rsidRDefault="0031507E" w:rsidP="0031507E">
            <w:pPr>
              <w:rPr>
                <w:sz w:val="24"/>
              </w:rPr>
            </w:pPr>
            <w:r w:rsidRPr="0031507E">
              <w:rPr>
                <w:sz w:val="24"/>
              </w:rPr>
              <w:t>Financial management measures overall financial health, core expenditures per degree, and instructional margin ratio.</w:t>
            </w:r>
          </w:p>
          <w:p w:rsidR="0031507E" w:rsidRPr="0001368F" w:rsidRDefault="0031507E" w:rsidP="0031507E">
            <w:pPr>
              <w:rPr>
                <w:b/>
                <w:sz w:val="24"/>
                <w:u w:val="single"/>
              </w:rPr>
            </w:pPr>
          </w:p>
          <w:p w:rsidR="0001368F" w:rsidRPr="0001368F" w:rsidRDefault="0031507E" w:rsidP="0001368F">
            <w:pPr>
              <w:rPr>
                <w:b/>
                <w:sz w:val="24"/>
                <w:u w:val="single"/>
              </w:rPr>
            </w:pPr>
            <w:r w:rsidRPr="0001368F">
              <w:rPr>
                <w:b/>
                <w:sz w:val="24"/>
                <w:u w:val="single"/>
              </w:rPr>
              <w:t>Composite Financial Index</w:t>
            </w:r>
            <w:r w:rsidR="0001368F" w:rsidRPr="0001368F">
              <w:rPr>
                <w:b/>
                <w:sz w:val="24"/>
                <w:u w:val="single"/>
              </w:rPr>
              <w:t xml:space="preserve"> - 201</w:t>
            </w:r>
            <w:r w:rsidR="000D70C8">
              <w:rPr>
                <w:b/>
                <w:sz w:val="24"/>
                <w:u w:val="single"/>
              </w:rPr>
              <w:t>8</w:t>
            </w:r>
            <w:r w:rsidR="0001368F" w:rsidRPr="0001368F">
              <w:rPr>
                <w:b/>
                <w:sz w:val="24"/>
                <w:u w:val="single"/>
              </w:rPr>
              <w:t xml:space="preserve"> CFI for UWRF: 2.</w:t>
            </w:r>
            <w:r w:rsidR="000D70C8">
              <w:rPr>
                <w:b/>
                <w:sz w:val="24"/>
                <w:u w:val="single"/>
              </w:rPr>
              <w:t>47</w:t>
            </w:r>
          </w:p>
          <w:p w:rsidR="0031507E" w:rsidRDefault="0031507E" w:rsidP="0031507E">
            <w:pPr>
              <w:rPr>
                <w:b/>
                <w:sz w:val="24"/>
                <w:u w:val="single"/>
              </w:rPr>
            </w:pPr>
          </w:p>
          <w:p w:rsidR="0031507E" w:rsidRDefault="0031507E" w:rsidP="0031507E">
            <w:pPr>
              <w:rPr>
                <w:sz w:val="24"/>
              </w:rPr>
            </w:pPr>
            <w:r w:rsidRPr="0031507E">
              <w:rPr>
                <w:sz w:val="24"/>
              </w:rPr>
              <w:t>The Higher Learning Commission considers a total Composite Financial Index (CFI) of 1.1 or higher as indicative of good financial health.  The CFI is a measure of overall financial performance based on four core financial ratios, each representing a</w:t>
            </w:r>
            <w:r w:rsidR="008B17C8">
              <w:rPr>
                <w:sz w:val="24"/>
              </w:rPr>
              <w:t>n area</w:t>
            </w:r>
            <w:r w:rsidRPr="0031507E">
              <w:rPr>
                <w:sz w:val="24"/>
              </w:rPr>
              <w:t xml:space="preserve"> of financial operations: (1) the primary reserve ratio, indicating resource sufficiency; (2) the viability ratio as a gauge of debt management; (3) the return on net assets ratio to track financial asset performance; and (4) the net operating revenues ratio measuring operating results.</w:t>
            </w:r>
          </w:p>
          <w:p w:rsidR="0001368F" w:rsidRPr="0031507E" w:rsidRDefault="0001368F" w:rsidP="0031507E">
            <w:pPr>
              <w:rPr>
                <w:sz w:val="24"/>
              </w:rPr>
            </w:pPr>
          </w:p>
          <w:p w:rsidR="0031507E" w:rsidRDefault="0031507E" w:rsidP="0031507E">
            <w:pPr>
              <w:rPr>
                <w:sz w:val="24"/>
              </w:rPr>
            </w:pPr>
            <w:r w:rsidRPr="0031507E">
              <w:rPr>
                <w:b/>
                <w:sz w:val="24"/>
                <w:u w:val="single"/>
              </w:rPr>
              <w:t>Core expenditures per degree</w:t>
            </w:r>
            <w:r w:rsidR="0001368F" w:rsidRPr="0001368F">
              <w:rPr>
                <w:sz w:val="24"/>
              </w:rPr>
              <w:t xml:space="preserve"> - </w:t>
            </w:r>
            <w:r w:rsidRPr="0031507E">
              <w:rPr>
                <w:sz w:val="24"/>
              </w:rPr>
              <w:t>Core expenditures include spending on instruction, student service, academic support, and institutional support.</w:t>
            </w:r>
          </w:p>
          <w:p w:rsidR="0031507E" w:rsidRPr="0031507E" w:rsidRDefault="0031507E" w:rsidP="0031507E">
            <w:pPr>
              <w:rPr>
                <w:sz w:val="24"/>
              </w:rPr>
            </w:pPr>
          </w:p>
          <w:p w:rsidR="0031507E" w:rsidRPr="0001368F" w:rsidRDefault="0031507E" w:rsidP="0031507E">
            <w:pPr>
              <w:rPr>
                <w:b/>
                <w:i/>
                <w:sz w:val="24"/>
              </w:rPr>
            </w:pPr>
            <w:r w:rsidRPr="0001368F">
              <w:rPr>
                <w:b/>
                <w:i/>
                <w:sz w:val="24"/>
              </w:rPr>
              <w:t>FY 201</w:t>
            </w:r>
            <w:r w:rsidR="000D70C8">
              <w:rPr>
                <w:b/>
                <w:i/>
                <w:sz w:val="24"/>
              </w:rPr>
              <w:t>6</w:t>
            </w:r>
            <w:r w:rsidRPr="0001368F">
              <w:rPr>
                <w:b/>
                <w:i/>
                <w:sz w:val="24"/>
              </w:rPr>
              <w:t>-1</w:t>
            </w:r>
            <w:r w:rsidR="000D70C8">
              <w:rPr>
                <w:b/>
                <w:i/>
                <w:sz w:val="24"/>
              </w:rPr>
              <w:t>7</w:t>
            </w:r>
          </w:p>
          <w:p w:rsidR="0031507E" w:rsidRPr="0031507E" w:rsidRDefault="0031507E" w:rsidP="0031507E">
            <w:pPr>
              <w:rPr>
                <w:sz w:val="24"/>
              </w:rPr>
            </w:pPr>
            <w:r w:rsidRPr="0031507E">
              <w:rPr>
                <w:sz w:val="24"/>
              </w:rPr>
              <w:t>Core expenditures: $7</w:t>
            </w:r>
            <w:r w:rsidR="000D70C8">
              <w:rPr>
                <w:sz w:val="24"/>
              </w:rPr>
              <w:t>3</w:t>
            </w:r>
            <w:r w:rsidRPr="0031507E">
              <w:rPr>
                <w:sz w:val="24"/>
              </w:rPr>
              <w:t xml:space="preserve"> million</w:t>
            </w:r>
          </w:p>
          <w:p w:rsidR="0031507E" w:rsidRPr="0031507E" w:rsidRDefault="0031507E" w:rsidP="0031507E">
            <w:pPr>
              <w:rPr>
                <w:sz w:val="24"/>
              </w:rPr>
            </w:pPr>
            <w:r w:rsidRPr="0031507E">
              <w:rPr>
                <w:sz w:val="24"/>
              </w:rPr>
              <w:t>Total degrees: 1,</w:t>
            </w:r>
            <w:r w:rsidR="000D70C8">
              <w:rPr>
                <w:sz w:val="24"/>
              </w:rPr>
              <w:t>398</w:t>
            </w:r>
          </w:p>
          <w:p w:rsidR="0031507E" w:rsidRPr="0031507E" w:rsidRDefault="0031507E" w:rsidP="0031507E">
            <w:pPr>
              <w:rPr>
                <w:sz w:val="24"/>
              </w:rPr>
            </w:pPr>
            <w:r w:rsidRPr="0031507E">
              <w:rPr>
                <w:sz w:val="24"/>
              </w:rPr>
              <w:t>Core expenditures per degree: $5</w:t>
            </w:r>
            <w:r w:rsidR="000D70C8">
              <w:rPr>
                <w:sz w:val="24"/>
              </w:rPr>
              <w:t>2,000</w:t>
            </w:r>
          </w:p>
          <w:p w:rsidR="0031507E" w:rsidRPr="0031507E" w:rsidRDefault="0031507E" w:rsidP="0031507E">
            <w:pPr>
              <w:rPr>
                <w:sz w:val="24"/>
              </w:rPr>
            </w:pPr>
          </w:p>
          <w:p w:rsidR="0031507E" w:rsidRDefault="0031507E" w:rsidP="0031507E">
            <w:pPr>
              <w:rPr>
                <w:sz w:val="24"/>
              </w:rPr>
            </w:pPr>
            <w:r w:rsidRPr="0031507E">
              <w:rPr>
                <w:b/>
                <w:sz w:val="24"/>
                <w:u w:val="single"/>
              </w:rPr>
              <w:t>Instructional margin ratio</w:t>
            </w:r>
            <w:r w:rsidR="0001368F">
              <w:rPr>
                <w:sz w:val="24"/>
              </w:rPr>
              <w:t xml:space="preserve"> </w:t>
            </w:r>
            <w:r w:rsidR="006D2D4A">
              <w:rPr>
                <w:sz w:val="24"/>
              </w:rPr>
              <w:t>–</w:t>
            </w:r>
            <w:r w:rsidR="0001368F">
              <w:rPr>
                <w:sz w:val="24"/>
              </w:rPr>
              <w:t xml:space="preserve"> </w:t>
            </w:r>
            <w:r w:rsidR="006D2D4A">
              <w:rPr>
                <w:sz w:val="24"/>
              </w:rPr>
              <w:t xml:space="preserve">The instructional </w:t>
            </w:r>
            <w:r w:rsidRPr="0031507E">
              <w:rPr>
                <w:sz w:val="24"/>
              </w:rPr>
              <w:t>margin ratio is a measure of overall financial health related to an institution’s instructional mission.  It compares the revenue of an institution to its expenses.  A ratio greater than 1.0 indicates revenue exceeding expenses, while a ratio of less than 1.0 indicates deficit spending.</w:t>
            </w:r>
          </w:p>
          <w:p w:rsidR="0001368F" w:rsidRPr="0001368F" w:rsidRDefault="0001368F" w:rsidP="0031507E">
            <w:pPr>
              <w:rPr>
                <w:i/>
                <w:sz w:val="24"/>
              </w:rPr>
            </w:pPr>
          </w:p>
          <w:p w:rsidR="0031507E" w:rsidRPr="0001368F" w:rsidRDefault="0031507E" w:rsidP="0031507E">
            <w:pPr>
              <w:rPr>
                <w:b/>
                <w:i/>
                <w:sz w:val="24"/>
              </w:rPr>
            </w:pPr>
            <w:r w:rsidRPr="0001368F">
              <w:rPr>
                <w:b/>
                <w:i/>
                <w:sz w:val="24"/>
              </w:rPr>
              <w:t>FY 2016-17</w:t>
            </w:r>
          </w:p>
          <w:p w:rsidR="0031507E" w:rsidRPr="0031507E" w:rsidRDefault="0031507E" w:rsidP="0031507E">
            <w:pPr>
              <w:rPr>
                <w:sz w:val="24"/>
              </w:rPr>
            </w:pPr>
            <w:r w:rsidRPr="0031507E">
              <w:rPr>
                <w:sz w:val="24"/>
              </w:rPr>
              <w:t>Tuition margin ratio: 1.0</w:t>
            </w:r>
          </w:p>
          <w:p w:rsidR="0031507E" w:rsidRPr="0031507E" w:rsidRDefault="0031507E" w:rsidP="0031507E">
            <w:pPr>
              <w:rPr>
                <w:sz w:val="24"/>
              </w:rPr>
            </w:pPr>
            <w:r w:rsidRPr="0031507E">
              <w:rPr>
                <w:sz w:val="24"/>
              </w:rPr>
              <w:t>Tuition Revenue: $52,805,401</w:t>
            </w:r>
          </w:p>
          <w:p w:rsidR="002A621E" w:rsidRDefault="0031507E" w:rsidP="0001368F">
            <w:pPr>
              <w:rPr>
                <w:sz w:val="24"/>
              </w:rPr>
            </w:pPr>
            <w:r w:rsidRPr="0031507E">
              <w:rPr>
                <w:sz w:val="24"/>
              </w:rPr>
              <w:t>Tuition Expenses: $52,752,272</w:t>
            </w:r>
          </w:p>
          <w:p w:rsidR="00956456" w:rsidRDefault="00956456" w:rsidP="0001368F">
            <w:pPr>
              <w:rPr>
                <w:sz w:val="24"/>
              </w:rPr>
            </w:pPr>
          </w:p>
          <w:p w:rsidR="00956456" w:rsidRPr="002A621E" w:rsidRDefault="00956456" w:rsidP="0001368F">
            <w:pPr>
              <w:rPr>
                <w:sz w:val="24"/>
              </w:rPr>
            </w:pPr>
            <w:r>
              <w:rPr>
                <w:sz w:val="24"/>
              </w:rPr>
              <w:t>Source: UW System Accountability Dashboard</w:t>
            </w:r>
            <w:r w:rsidR="00BA25F2">
              <w:rPr>
                <w:sz w:val="24"/>
              </w:rPr>
              <w:t xml:space="preserve"> and UW System CFI Crosswalk and Calculation</w:t>
            </w:r>
          </w:p>
        </w:tc>
      </w:tr>
    </w:tbl>
    <w:p w:rsidR="00A83A17" w:rsidRDefault="00A83A17" w:rsidP="00CE28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2A621E" w:rsidTr="00076EB3">
        <w:tc>
          <w:tcPr>
            <w:tcW w:w="12950" w:type="dxa"/>
          </w:tcPr>
          <w:p w:rsidR="006F373E" w:rsidRPr="006F2BDC" w:rsidRDefault="006F373E" w:rsidP="006F373E">
            <w:pPr>
              <w:pStyle w:val="Heading1"/>
              <w:outlineLvl w:val="0"/>
            </w:pPr>
            <w:bookmarkStart w:id="10" w:name="_Toc513535050"/>
            <w:r>
              <w:t>FACULTY AND STAFF</w:t>
            </w:r>
            <w:bookmarkEnd w:id="10"/>
            <w:r w:rsidR="005A1296">
              <w:t xml:space="preserve"> - FALL 201</w:t>
            </w:r>
            <w:r w:rsidR="00076EB3">
              <w:t>8</w:t>
            </w:r>
          </w:p>
          <w:p w:rsidR="006F373E" w:rsidRDefault="006F373E" w:rsidP="006F373E">
            <w:pPr>
              <w:pStyle w:val="ListParagraph"/>
              <w:ind w:left="0"/>
            </w:pPr>
          </w:p>
          <w:p w:rsidR="006F373E" w:rsidRPr="006F373E" w:rsidRDefault="006F373E" w:rsidP="006F373E">
            <w:pPr>
              <w:pStyle w:val="ListParagraph"/>
              <w:ind w:left="0"/>
              <w:rPr>
                <w:sz w:val="24"/>
              </w:rPr>
            </w:pPr>
            <w:r w:rsidRPr="006F373E">
              <w:rPr>
                <w:sz w:val="24"/>
              </w:rPr>
              <w:t>Each employee at UW-River Falls has a role in supporting our mission.  In addition to</w:t>
            </w:r>
            <w:r w:rsidR="00BA25F2">
              <w:rPr>
                <w:sz w:val="24"/>
              </w:rPr>
              <w:t xml:space="preserve"> </w:t>
            </w:r>
            <w:r w:rsidR="00F70C66">
              <w:rPr>
                <w:sz w:val="24"/>
              </w:rPr>
              <w:t>the 646 FTE for</w:t>
            </w:r>
            <w:r w:rsidRPr="006F373E">
              <w:rPr>
                <w:sz w:val="24"/>
              </w:rPr>
              <w:t xml:space="preserve"> faculty and staff, the university also employs more than 1,000 undergraduate students who gain </w:t>
            </w:r>
            <w:r w:rsidR="006D2D4A" w:rsidRPr="006F373E">
              <w:rPr>
                <w:sz w:val="24"/>
              </w:rPr>
              <w:t xml:space="preserve">valuable </w:t>
            </w:r>
            <w:r w:rsidR="006D2D4A">
              <w:rPr>
                <w:sz w:val="24"/>
              </w:rPr>
              <w:t>experience</w:t>
            </w:r>
            <w:r w:rsidRPr="006F373E">
              <w:rPr>
                <w:sz w:val="24"/>
              </w:rPr>
              <w:t xml:space="preserve"> that will help them after graduation in their future careers.</w:t>
            </w:r>
          </w:p>
          <w:p w:rsidR="006F373E" w:rsidRPr="006F373E" w:rsidRDefault="00076EB3" w:rsidP="006F373E">
            <w:pPr>
              <w:pStyle w:val="ListParagraph"/>
              <w:ind w:left="0"/>
              <w:rPr>
                <w:sz w:val="24"/>
              </w:rPr>
            </w:pPr>
            <w:r>
              <w:rPr>
                <w:noProof/>
              </w:rPr>
              <w:drawing>
                <wp:anchor distT="0" distB="0" distL="114300" distR="114300" simplePos="0" relativeHeight="251677696" behindDoc="0" locked="0" layoutInCell="1" allowOverlap="1" wp14:anchorId="623DCAC1">
                  <wp:simplePos x="0" y="0"/>
                  <wp:positionH relativeFrom="column">
                    <wp:posOffset>2382520</wp:posOffset>
                  </wp:positionH>
                  <wp:positionV relativeFrom="paragraph">
                    <wp:posOffset>97790</wp:posOffset>
                  </wp:positionV>
                  <wp:extent cx="5760720" cy="3515995"/>
                  <wp:effectExtent l="0" t="0" r="11430" b="8255"/>
                  <wp:wrapSquare wrapText="bothSides"/>
                  <wp:docPr id="3" name="Chart 3">
                    <a:extLst xmlns:a="http://schemas.openxmlformats.org/drawingml/2006/main">
                      <a:ext uri="{FF2B5EF4-FFF2-40B4-BE49-F238E27FC236}">
                        <a16:creationId xmlns:a16="http://schemas.microsoft.com/office/drawing/2014/main" id="{4CB13F39-2122-4F12-B696-9DB22228DF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rsidR="006F373E" w:rsidRPr="006F373E" w:rsidRDefault="006F373E" w:rsidP="006F373E">
            <w:pPr>
              <w:pStyle w:val="ListParagraph"/>
              <w:ind w:left="0"/>
              <w:rPr>
                <w:sz w:val="24"/>
                <w:u w:val="single"/>
              </w:rPr>
            </w:pPr>
            <w:r w:rsidRPr="006F373E">
              <w:rPr>
                <w:sz w:val="24"/>
                <w:u w:val="single"/>
              </w:rPr>
              <w:t>Faculty assigned to each college</w:t>
            </w:r>
            <w:r w:rsidR="008B08E1">
              <w:rPr>
                <w:sz w:val="24"/>
                <w:u w:val="single"/>
              </w:rPr>
              <w:t xml:space="preserve"> (FTE):</w:t>
            </w:r>
          </w:p>
          <w:p w:rsidR="006F373E" w:rsidRPr="006F373E" w:rsidRDefault="006F373E" w:rsidP="006F373E">
            <w:pPr>
              <w:pStyle w:val="ListParagraph"/>
              <w:ind w:left="0"/>
              <w:rPr>
                <w:sz w:val="24"/>
              </w:rPr>
            </w:pPr>
          </w:p>
          <w:p w:rsidR="006F373E" w:rsidRPr="006F373E" w:rsidRDefault="006F373E" w:rsidP="006F373E">
            <w:pPr>
              <w:rPr>
                <w:sz w:val="24"/>
              </w:rPr>
            </w:pPr>
            <w:r w:rsidRPr="006F373E">
              <w:rPr>
                <w:sz w:val="24"/>
              </w:rPr>
              <w:t xml:space="preserve">College of Agriculture, Food and Environmental Sciences – </w:t>
            </w:r>
            <w:r w:rsidR="008B08E1">
              <w:rPr>
                <w:sz w:val="24"/>
              </w:rPr>
              <w:t>44.06</w:t>
            </w:r>
          </w:p>
          <w:p w:rsidR="006F373E" w:rsidRPr="006F373E" w:rsidRDefault="006F373E" w:rsidP="006F373E">
            <w:pPr>
              <w:rPr>
                <w:sz w:val="24"/>
              </w:rPr>
            </w:pPr>
          </w:p>
          <w:p w:rsidR="006F373E" w:rsidRPr="006F373E" w:rsidRDefault="007058B8" w:rsidP="006F373E">
            <w:pPr>
              <w:rPr>
                <w:sz w:val="24"/>
              </w:rPr>
            </w:pPr>
            <w:r>
              <w:rPr>
                <w:sz w:val="24"/>
              </w:rPr>
              <w:t>College of</w:t>
            </w:r>
            <w:r w:rsidR="006F373E" w:rsidRPr="006F373E">
              <w:rPr>
                <w:sz w:val="24"/>
              </w:rPr>
              <w:t xml:space="preserve"> Arts and Sciences – 89.</w:t>
            </w:r>
            <w:r w:rsidR="008B08E1">
              <w:rPr>
                <w:sz w:val="24"/>
              </w:rPr>
              <w:t>42</w:t>
            </w:r>
          </w:p>
          <w:p w:rsidR="006F373E" w:rsidRPr="006F373E" w:rsidRDefault="006F373E" w:rsidP="006F373E">
            <w:pPr>
              <w:rPr>
                <w:sz w:val="24"/>
              </w:rPr>
            </w:pPr>
          </w:p>
          <w:p w:rsidR="006F373E" w:rsidRPr="006F373E" w:rsidRDefault="006F373E" w:rsidP="006F373E">
            <w:pPr>
              <w:rPr>
                <w:sz w:val="24"/>
              </w:rPr>
            </w:pPr>
            <w:r w:rsidRPr="006F373E">
              <w:rPr>
                <w:sz w:val="24"/>
              </w:rPr>
              <w:t xml:space="preserve">College of Education and Professional Studies – </w:t>
            </w:r>
            <w:r w:rsidR="008B08E1">
              <w:rPr>
                <w:sz w:val="24"/>
              </w:rPr>
              <w:t>28.19</w:t>
            </w:r>
          </w:p>
          <w:p w:rsidR="006F373E" w:rsidRPr="006F373E" w:rsidRDefault="006F373E" w:rsidP="006F373E">
            <w:pPr>
              <w:rPr>
                <w:sz w:val="24"/>
              </w:rPr>
            </w:pPr>
          </w:p>
          <w:p w:rsidR="006F373E" w:rsidRPr="006F373E" w:rsidRDefault="006F373E" w:rsidP="006F373E">
            <w:pPr>
              <w:rPr>
                <w:sz w:val="24"/>
              </w:rPr>
            </w:pPr>
            <w:r w:rsidRPr="006F373E">
              <w:rPr>
                <w:sz w:val="24"/>
              </w:rPr>
              <w:t>College of Business and Economics – 27.</w:t>
            </w:r>
            <w:r w:rsidR="008B08E1">
              <w:rPr>
                <w:sz w:val="24"/>
              </w:rPr>
              <w:t>00</w:t>
            </w:r>
          </w:p>
          <w:p w:rsidR="006F373E" w:rsidRPr="006F373E" w:rsidRDefault="006F373E" w:rsidP="006F373E">
            <w:pPr>
              <w:rPr>
                <w:sz w:val="24"/>
              </w:rPr>
            </w:pPr>
          </w:p>
          <w:p w:rsidR="006F373E" w:rsidRDefault="006F373E" w:rsidP="006F373E">
            <w:pPr>
              <w:rPr>
                <w:sz w:val="24"/>
              </w:rPr>
            </w:pPr>
            <w:r w:rsidRPr="006F373E">
              <w:rPr>
                <w:sz w:val="24"/>
              </w:rPr>
              <w:t>Continuing Education –</w:t>
            </w:r>
            <w:r w:rsidR="008B08E1">
              <w:rPr>
                <w:sz w:val="24"/>
              </w:rPr>
              <w:t xml:space="preserve"> 3.40</w:t>
            </w:r>
          </w:p>
          <w:p w:rsidR="00C940E5" w:rsidRDefault="00C940E5" w:rsidP="006F373E">
            <w:pPr>
              <w:rPr>
                <w:sz w:val="24"/>
              </w:rPr>
            </w:pPr>
          </w:p>
          <w:p w:rsidR="00C940E5" w:rsidRDefault="00C940E5" w:rsidP="006F373E">
            <w:pPr>
              <w:rPr>
                <w:sz w:val="24"/>
              </w:rPr>
            </w:pPr>
          </w:p>
          <w:p w:rsidR="00C940E5" w:rsidRDefault="00C940E5" w:rsidP="006F373E">
            <w:pPr>
              <w:rPr>
                <w:sz w:val="24"/>
              </w:rPr>
            </w:pPr>
          </w:p>
          <w:p w:rsidR="00C940E5" w:rsidRPr="006F373E" w:rsidRDefault="00C940E5" w:rsidP="006F373E">
            <w:pPr>
              <w:rPr>
                <w:sz w:val="24"/>
              </w:rPr>
            </w:pPr>
            <w:r>
              <w:rPr>
                <w:sz w:val="24"/>
              </w:rPr>
              <w:t>Source: October 201</w:t>
            </w:r>
            <w:r w:rsidR="00194747">
              <w:rPr>
                <w:sz w:val="24"/>
              </w:rPr>
              <w:t>8</w:t>
            </w:r>
            <w:r>
              <w:rPr>
                <w:sz w:val="24"/>
              </w:rPr>
              <w:t xml:space="preserve"> payroll</w:t>
            </w:r>
          </w:p>
          <w:p w:rsidR="002A621E" w:rsidRDefault="002A621E" w:rsidP="006F373E">
            <w:pPr>
              <w:pStyle w:val="ListParagraph"/>
              <w:ind w:left="0"/>
            </w:pPr>
          </w:p>
        </w:tc>
      </w:tr>
    </w:tbl>
    <w:p w:rsidR="002A621E" w:rsidRDefault="002A621E" w:rsidP="00CE28FA"/>
    <w:p w:rsidR="00A97C3F" w:rsidRDefault="00A97C3F" w:rsidP="00CE28FA"/>
    <w:p w:rsidR="00A97C3F" w:rsidRDefault="00A97C3F" w:rsidP="00CE28FA"/>
    <w:p w:rsidR="00A97C3F" w:rsidRDefault="00A97C3F" w:rsidP="00CE28FA"/>
    <w:tbl>
      <w:tblPr>
        <w:tblStyle w:val="TableGrid"/>
        <w:tblW w:w="0" w:type="auto"/>
        <w:tblLook w:val="04A0" w:firstRow="1" w:lastRow="0" w:firstColumn="1" w:lastColumn="0" w:noHBand="0" w:noVBand="1"/>
      </w:tblPr>
      <w:tblGrid>
        <w:gridCol w:w="12950"/>
      </w:tblGrid>
      <w:tr w:rsidR="00A97C3F" w:rsidTr="00A97C3F">
        <w:tc>
          <w:tcPr>
            <w:tcW w:w="12950" w:type="dxa"/>
            <w:tcBorders>
              <w:top w:val="nil"/>
              <w:left w:val="nil"/>
              <w:bottom w:val="nil"/>
              <w:right w:val="nil"/>
            </w:tcBorders>
          </w:tcPr>
          <w:p w:rsidR="00A97C3F" w:rsidRDefault="00A97C3F" w:rsidP="00A97C3F">
            <w:pPr>
              <w:pStyle w:val="Heading1"/>
              <w:outlineLvl w:val="0"/>
            </w:pPr>
            <w:bookmarkStart w:id="11" w:name="_Toc513535051"/>
            <w:r>
              <w:t>FACULTY SALARIES COMPARISON WITH UW SYSTEM COMPREHENSIVE CAMPUSES</w:t>
            </w:r>
            <w:bookmarkEnd w:id="11"/>
            <w:r w:rsidR="005F135C">
              <w:t xml:space="preserve"> – 201</w:t>
            </w:r>
            <w:r w:rsidR="00917A62">
              <w:t>7</w:t>
            </w:r>
            <w:r w:rsidR="005F135C">
              <w:t>-1</w:t>
            </w:r>
            <w:r w:rsidR="00917A62">
              <w:t>8</w:t>
            </w:r>
          </w:p>
          <w:p w:rsidR="00A97C3F" w:rsidRPr="00A97C3F" w:rsidRDefault="00A97C3F" w:rsidP="00A97C3F"/>
          <w:p w:rsidR="00A97C3F" w:rsidRPr="00A97C3F" w:rsidRDefault="00A97C3F" w:rsidP="00A97C3F">
            <w:pPr>
              <w:rPr>
                <w:sz w:val="24"/>
              </w:rPr>
            </w:pPr>
            <w:r w:rsidRPr="00A97C3F">
              <w:rPr>
                <w:sz w:val="24"/>
              </w:rPr>
              <w:t>Source: 201</w:t>
            </w:r>
            <w:r w:rsidR="00917A62">
              <w:rPr>
                <w:sz w:val="24"/>
              </w:rPr>
              <w:t>7</w:t>
            </w:r>
            <w:r w:rsidRPr="00A97C3F">
              <w:rPr>
                <w:sz w:val="24"/>
              </w:rPr>
              <w:t>-1</w:t>
            </w:r>
            <w:r w:rsidR="00917A62">
              <w:rPr>
                <w:sz w:val="24"/>
              </w:rPr>
              <w:t>8</w:t>
            </w:r>
            <w:r w:rsidRPr="00A97C3F">
              <w:rPr>
                <w:sz w:val="24"/>
              </w:rPr>
              <w:t xml:space="preserve"> UW System Fact Book</w:t>
            </w:r>
          </w:p>
          <w:p w:rsidR="00A97C3F" w:rsidRPr="00A97C3F" w:rsidRDefault="00A97C3F" w:rsidP="00A97C3F">
            <w:pPr>
              <w:rPr>
                <w:sz w:val="24"/>
              </w:rPr>
            </w:pPr>
          </w:p>
          <w:p w:rsidR="00A97C3F" w:rsidRPr="00A97C3F" w:rsidRDefault="00A97C3F" w:rsidP="00A97C3F">
            <w:pPr>
              <w:rPr>
                <w:sz w:val="24"/>
              </w:rPr>
            </w:pPr>
            <w:r w:rsidRPr="00A97C3F">
              <w:rPr>
                <w:sz w:val="24"/>
              </w:rPr>
              <w:t xml:space="preserve">Starting with the 2010-2011 academic year, $100,000 has been approved annually for faculty salary adjustments to ensure our faculty salaries are competitive with other UW System </w:t>
            </w:r>
            <w:r w:rsidR="000748B2">
              <w:rPr>
                <w:sz w:val="24"/>
              </w:rPr>
              <w:t xml:space="preserve">Comprehensive </w:t>
            </w:r>
            <w:r w:rsidRPr="00A97C3F">
              <w:rPr>
                <w:sz w:val="24"/>
              </w:rPr>
              <w:t>Campuses.</w:t>
            </w:r>
            <w:r w:rsidR="000748B2">
              <w:rPr>
                <w:sz w:val="24"/>
              </w:rPr>
              <w:t xml:space="preserve">  However, UW faculty salaries are</w:t>
            </w:r>
            <w:r w:rsidR="00CC56AA">
              <w:rPr>
                <w:sz w:val="24"/>
              </w:rPr>
              <w:t xml:space="preserve"> significantly</w:t>
            </w:r>
            <w:r w:rsidR="000748B2">
              <w:rPr>
                <w:sz w:val="24"/>
              </w:rPr>
              <w:t xml:space="preserve"> below that of peer institutions nationally.</w:t>
            </w:r>
          </w:p>
          <w:p w:rsidR="00A97C3F" w:rsidRPr="00A97C3F" w:rsidRDefault="00A97C3F" w:rsidP="00A97C3F">
            <w:pPr>
              <w:rPr>
                <w:i/>
                <w:sz w:val="24"/>
              </w:rPr>
            </w:pPr>
          </w:p>
          <w:tbl>
            <w:tblPr>
              <w:tblStyle w:val="TableGrid"/>
              <w:tblW w:w="0" w:type="auto"/>
              <w:tblLook w:val="04A0" w:firstRow="1" w:lastRow="0" w:firstColumn="1" w:lastColumn="0" w:noHBand="0" w:noVBand="1"/>
            </w:tblPr>
            <w:tblGrid>
              <w:gridCol w:w="1660"/>
              <w:gridCol w:w="1285"/>
              <w:gridCol w:w="556"/>
              <w:gridCol w:w="1660"/>
              <w:gridCol w:w="1285"/>
              <w:gridCol w:w="415"/>
              <w:gridCol w:w="1660"/>
              <w:gridCol w:w="1285"/>
            </w:tblGrid>
            <w:tr w:rsidR="00A97C3F" w:rsidRPr="00A97C3F" w:rsidTr="00A97C3F">
              <w:tc>
                <w:tcPr>
                  <w:tcW w:w="1660" w:type="dxa"/>
                </w:tcPr>
                <w:p w:rsidR="00A97C3F" w:rsidRPr="00C940E5" w:rsidRDefault="00A97C3F" w:rsidP="00A97C3F">
                  <w:pPr>
                    <w:rPr>
                      <w:sz w:val="24"/>
                    </w:rPr>
                  </w:pPr>
                  <w:bookmarkStart w:id="12" w:name="OLE_LINK2"/>
                </w:p>
              </w:tc>
              <w:tc>
                <w:tcPr>
                  <w:tcW w:w="1285" w:type="dxa"/>
                  <w:tcBorders>
                    <w:right w:val="single" w:sz="4" w:space="0" w:color="auto"/>
                  </w:tcBorders>
                </w:tcPr>
                <w:p w:rsidR="00A97C3F" w:rsidRPr="00A97C3F" w:rsidRDefault="00A97C3F" w:rsidP="00A97C3F">
                  <w:pPr>
                    <w:rPr>
                      <w:i/>
                      <w:sz w:val="24"/>
                    </w:rPr>
                  </w:pPr>
                </w:p>
                <w:p w:rsidR="00A97C3F" w:rsidRPr="00A97C3F" w:rsidRDefault="00A97C3F" w:rsidP="00A97C3F">
                  <w:pPr>
                    <w:rPr>
                      <w:i/>
                      <w:sz w:val="24"/>
                    </w:rPr>
                  </w:pPr>
                  <w:r w:rsidRPr="00A97C3F">
                    <w:rPr>
                      <w:i/>
                      <w:sz w:val="24"/>
                    </w:rPr>
                    <w:t>Professor</w:t>
                  </w:r>
                </w:p>
              </w:tc>
              <w:tc>
                <w:tcPr>
                  <w:tcW w:w="556" w:type="dxa"/>
                  <w:tcBorders>
                    <w:top w:val="nil"/>
                    <w:left w:val="single" w:sz="4" w:space="0" w:color="auto"/>
                    <w:bottom w:val="nil"/>
                    <w:right w:val="single" w:sz="4" w:space="0" w:color="auto"/>
                  </w:tcBorders>
                </w:tcPr>
                <w:p w:rsidR="00A97C3F" w:rsidRPr="00A97C3F" w:rsidRDefault="00A97C3F" w:rsidP="00A97C3F">
                  <w:pPr>
                    <w:rPr>
                      <w:i/>
                      <w:sz w:val="24"/>
                    </w:rPr>
                  </w:pPr>
                </w:p>
              </w:tc>
              <w:tc>
                <w:tcPr>
                  <w:tcW w:w="1660" w:type="dxa"/>
                  <w:tcBorders>
                    <w:left w:val="single" w:sz="4" w:space="0" w:color="auto"/>
                  </w:tcBorders>
                </w:tcPr>
                <w:p w:rsidR="00A97C3F" w:rsidRPr="00A97C3F" w:rsidRDefault="00A97C3F" w:rsidP="00A97C3F">
                  <w:pPr>
                    <w:rPr>
                      <w:i/>
                      <w:sz w:val="24"/>
                    </w:rPr>
                  </w:pPr>
                </w:p>
              </w:tc>
              <w:tc>
                <w:tcPr>
                  <w:tcW w:w="1285" w:type="dxa"/>
                  <w:tcBorders>
                    <w:right w:val="single" w:sz="4" w:space="0" w:color="auto"/>
                  </w:tcBorders>
                </w:tcPr>
                <w:p w:rsidR="00A97C3F" w:rsidRPr="00A97C3F" w:rsidRDefault="00A97C3F" w:rsidP="00A97C3F">
                  <w:pPr>
                    <w:rPr>
                      <w:i/>
                      <w:sz w:val="24"/>
                    </w:rPr>
                  </w:pPr>
                  <w:r w:rsidRPr="00A97C3F">
                    <w:rPr>
                      <w:i/>
                      <w:sz w:val="24"/>
                    </w:rPr>
                    <w:t>Associate Professor</w:t>
                  </w:r>
                </w:p>
              </w:tc>
              <w:tc>
                <w:tcPr>
                  <w:tcW w:w="415" w:type="dxa"/>
                  <w:tcBorders>
                    <w:top w:val="nil"/>
                    <w:left w:val="single" w:sz="4" w:space="0" w:color="auto"/>
                    <w:bottom w:val="nil"/>
                    <w:right w:val="single" w:sz="4" w:space="0" w:color="auto"/>
                  </w:tcBorders>
                </w:tcPr>
                <w:p w:rsidR="00A97C3F" w:rsidRPr="00A97C3F" w:rsidRDefault="00A97C3F" w:rsidP="00A97C3F">
                  <w:pPr>
                    <w:rPr>
                      <w:i/>
                      <w:sz w:val="24"/>
                    </w:rPr>
                  </w:pPr>
                </w:p>
              </w:tc>
              <w:tc>
                <w:tcPr>
                  <w:tcW w:w="1660" w:type="dxa"/>
                  <w:tcBorders>
                    <w:left w:val="single" w:sz="4" w:space="0" w:color="auto"/>
                  </w:tcBorders>
                </w:tcPr>
                <w:p w:rsidR="00A97C3F" w:rsidRPr="00A97C3F" w:rsidRDefault="00A97C3F" w:rsidP="00A97C3F">
                  <w:pPr>
                    <w:rPr>
                      <w:i/>
                      <w:sz w:val="24"/>
                    </w:rPr>
                  </w:pPr>
                </w:p>
              </w:tc>
              <w:tc>
                <w:tcPr>
                  <w:tcW w:w="1285" w:type="dxa"/>
                </w:tcPr>
                <w:p w:rsidR="00A97C3F" w:rsidRPr="00A97C3F" w:rsidRDefault="00A97C3F" w:rsidP="00A97C3F">
                  <w:pPr>
                    <w:rPr>
                      <w:i/>
                      <w:sz w:val="24"/>
                    </w:rPr>
                  </w:pPr>
                  <w:r w:rsidRPr="00A97C3F">
                    <w:rPr>
                      <w:i/>
                      <w:sz w:val="24"/>
                    </w:rPr>
                    <w:t>Assistant Professor</w:t>
                  </w:r>
                </w:p>
              </w:tc>
            </w:tr>
            <w:tr w:rsidR="00A71B95" w:rsidRPr="00A97C3F" w:rsidTr="00A97C3F">
              <w:tc>
                <w:tcPr>
                  <w:tcW w:w="1660" w:type="dxa"/>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Oshkosh</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Pr>
                      <w:rFonts w:ascii="Calibri" w:hAnsi="Calibri" w:cs="Calibri"/>
                      <w:color w:val="000000"/>
                      <w:sz w:val="24"/>
                    </w:rPr>
                    <w:t>$81</w:t>
                  </w:r>
                  <w:r w:rsidRPr="00A97C3F">
                    <w:rPr>
                      <w:rFonts w:ascii="Calibri" w:hAnsi="Calibri" w:cs="Calibri"/>
                      <w:color w:val="000000"/>
                      <w:sz w:val="24"/>
                    </w:rPr>
                    <w:t>,</w:t>
                  </w:r>
                  <w:r>
                    <w:rPr>
                      <w:rFonts w:ascii="Calibri" w:hAnsi="Calibri" w:cs="Calibri"/>
                      <w:color w:val="000000"/>
                      <w:sz w:val="24"/>
                    </w:rPr>
                    <w:t>2</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Whitewater</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Pr>
                      <w:rFonts w:ascii="Calibri" w:hAnsi="Calibri" w:cs="Calibri"/>
                      <w:color w:val="000000"/>
                      <w:sz w:val="24"/>
                    </w:rPr>
                    <w:t>$</w:t>
                  </w:r>
                  <w:r w:rsidRPr="00A97C3F">
                    <w:rPr>
                      <w:rFonts w:ascii="Calibri" w:hAnsi="Calibri" w:cs="Calibri"/>
                      <w:color w:val="000000"/>
                      <w:sz w:val="24"/>
                    </w:rPr>
                    <w:t>6</w:t>
                  </w:r>
                  <w:r>
                    <w:rPr>
                      <w:rFonts w:ascii="Calibri" w:hAnsi="Calibri" w:cs="Calibri"/>
                      <w:color w:val="000000"/>
                      <w:sz w:val="24"/>
                    </w:rPr>
                    <w:t>9</w:t>
                  </w:r>
                  <w:r w:rsidRPr="00A97C3F">
                    <w:rPr>
                      <w:rFonts w:ascii="Calibri" w:hAnsi="Calibri" w:cs="Calibri"/>
                      <w:color w:val="000000"/>
                      <w:sz w:val="24"/>
                    </w:rPr>
                    <w:t>,</w:t>
                  </w:r>
                  <w:r>
                    <w:rPr>
                      <w:rFonts w:ascii="Calibri" w:hAnsi="Calibri" w:cs="Calibri"/>
                      <w:color w:val="000000"/>
                      <w:sz w:val="24"/>
                    </w:rPr>
                    <w:t>3</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Whitewater</w:t>
                  </w:r>
                </w:p>
              </w:tc>
              <w:tc>
                <w:tcPr>
                  <w:tcW w:w="1285" w:type="dxa"/>
                  <w:vAlign w:val="bottom"/>
                </w:tcPr>
                <w:p w:rsidR="00A71B95" w:rsidRPr="00A97C3F" w:rsidRDefault="00A71B95" w:rsidP="00A71B95">
                  <w:pPr>
                    <w:jc w:val="right"/>
                    <w:rPr>
                      <w:rFonts w:ascii="Calibri" w:hAnsi="Calibri" w:cs="Calibri"/>
                      <w:color w:val="000000"/>
                      <w:sz w:val="24"/>
                    </w:rPr>
                  </w:pPr>
                  <w:r>
                    <w:rPr>
                      <w:rFonts w:ascii="Calibri" w:hAnsi="Calibri" w:cs="Calibri"/>
                      <w:color w:val="000000"/>
                      <w:sz w:val="24"/>
                    </w:rPr>
                    <w:t>$</w:t>
                  </w:r>
                  <w:r w:rsidRPr="00A97C3F">
                    <w:rPr>
                      <w:rFonts w:ascii="Calibri" w:hAnsi="Calibri" w:cs="Calibri"/>
                      <w:color w:val="000000"/>
                      <w:sz w:val="24"/>
                    </w:rPr>
                    <w:t>71,</w:t>
                  </w:r>
                  <w:r>
                    <w:rPr>
                      <w:rFonts w:ascii="Calibri" w:hAnsi="Calibri" w:cs="Calibri"/>
                      <w:color w:val="000000"/>
                      <w:sz w:val="24"/>
                    </w:rPr>
                    <w:t>7</w:t>
                  </w:r>
                  <w:r w:rsidRPr="00A97C3F">
                    <w:rPr>
                      <w:rFonts w:ascii="Calibri" w:hAnsi="Calibri" w:cs="Calibri"/>
                      <w:color w:val="000000"/>
                      <w:sz w:val="24"/>
                    </w:rPr>
                    <w:t>00</w:t>
                  </w:r>
                </w:p>
              </w:tc>
            </w:tr>
            <w:tr w:rsidR="00A71B95" w:rsidRPr="00A97C3F" w:rsidTr="00A97C3F">
              <w:tc>
                <w:tcPr>
                  <w:tcW w:w="1660" w:type="dxa"/>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La Crosse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8</w:t>
                  </w:r>
                  <w:r>
                    <w:rPr>
                      <w:rFonts w:ascii="Calibri" w:hAnsi="Calibri" w:cs="Calibri"/>
                      <w:color w:val="000000"/>
                      <w:sz w:val="24"/>
                    </w:rPr>
                    <w:t>0</w:t>
                  </w:r>
                  <w:r w:rsidRPr="00A97C3F">
                    <w:rPr>
                      <w:rFonts w:ascii="Calibri" w:hAnsi="Calibri" w:cs="Calibri"/>
                      <w:color w:val="000000"/>
                      <w:sz w:val="24"/>
                    </w:rPr>
                    <w:t>,</w:t>
                  </w:r>
                  <w:r>
                    <w:rPr>
                      <w:rFonts w:ascii="Calibri" w:hAnsi="Calibri" w:cs="Calibri"/>
                      <w:color w:val="000000"/>
                      <w:sz w:val="24"/>
                    </w:rPr>
                    <w:t>9</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La Crosse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7,1</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Eau Claire</w:t>
                  </w:r>
                </w:p>
              </w:tc>
              <w:tc>
                <w:tcPr>
                  <w:tcW w:w="1285" w:type="dxa"/>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5</w:t>
                  </w:r>
                  <w:r w:rsidRPr="00A97C3F">
                    <w:rPr>
                      <w:rFonts w:ascii="Calibri" w:hAnsi="Calibri" w:cs="Calibri"/>
                      <w:color w:val="000000"/>
                      <w:sz w:val="24"/>
                    </w:rPr>
                    <w:t>,</w:t>
                  </w:r>
                  <w:r>
                    <w:rPr>
                      <w:rFonts w:ascii="Calibri" w:hAnsi="Calibri" w:cs="Calibri"/>
                      <w:color w:val="000000"/>
                      <w:sz w:val="24"/>
                    </w:rPr>
                    <w:t>9</w:t>
                  </w:r>
                  <w:r w:rsidRPr="00A97C3F">
                    <w:rPr>
                      <w:rFonts w:ascii="Calibri" w:hAnsi="Calibri" w:cs="Calibri"/>
                      <w:color w:val="000000"/>
                      <w:sz w:val="24"/>
                    </w:rPr>
                    <w:t>00</w:t>
                  </w:r>
                </w:p>
              </w:tc>
            </w:tr>
            <w:tr w:rsidR="00A71B95" w:rsidRPr="00A97C3F" w:rsidTr="00A97C3F">
              <w:tc>
                <w:tcPr>
                  <w:tcW w:w="1660" w:type="dxa"/>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Eau Claire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7</w:t>
                  </w:r>
                  <w:r>
                    <w:rPr>
                      <w:rFonts w:ascii="Calibri" w:hAnsi="Calibri" w:cs="Calibri"/>
                      <w:color w:val="000000"/>
                      <w:sz w:val="24"/>
                    </w:rPr>
                    <w:t>9</w:t>
                  </w:r>
                  <w:r w:rsidRPr="00A97C3F">
                    <w:rPr>
                      <w:rFonts w:ascii="Calibri" w:hAnsi="Calibri" w:cs="Calibri"/>
                      <w:color w:val="000000"/>
                      <w:sz w:val="24"/>
                    </w:rPr>
                    <w:t>,</w:t>
                  </w:r>
                  <w:r>
                    <w:rPr>
                      <w:rFonts w:ascii="Calibri" w:hAnsi="Calibri" w:cs="Calibri"/>
                      <w:color w:val="000000"/>
                      <w:sz w:val="24"/>
                    </w:rPr>
                    <w:t>2</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F70C66" w:rsidRDefault="00A71B95" w:rsidP="00A71B95">
                  <w:pPr>
                    <w:rPr>
                      <w:rFonts w:ascii="Calibri" w:hAnsi="Calibri" w:cs="Calibri"/>
                      <w:b/>
                      <w:color w:val="C00000"/>
                      <w:sz w:val="24"/>
                    </w:rPr>
                  </w:pPr>
                  <w:r w:rsidRPr="00F70C66">
                    <w:rPr>
                      <w:rFonts w:ascii="Calibri" w:hAnsi="Calibri" w:cs="Calibri"/>
                      <w:b/>
                      <w:color w:val="C00000"/>
                      <w:sz w:val="24"/>
                    </w:rPr>
                    <w:t>River Falls</w:t>
                  </w:r>
                </w:p>
              </w:tc>
              <w:tc>
                <w:tcPr>
                  <w:tcW w:w="1285" w:type="dxa"/>
                  <w:tcBorders>
                    <w:right w:val="single" w:sz="4" w:space="0" w:color="auto"/>
                  </w:tcBorders>
                  <w:vAlign w:val="bottom"/>
                </w:tcPr>
                <w:p w:rsidR="00A71B95" w:rsidRPr="00F70C66" w:rsidRDefault="00A71B95" w:rsidP="00A71B95">
                  <w:pPr>
                    <w:jc w:val="right"/>
                    <w:rPr>
                      <w:rFonts w:ascii="Calibri" w:hAnsi="Calibri" w:cs="Calibri"/>
                      <w:b/>
                      <w:color w:val="C00000"/>
                      <w:sz w:val="24"/>
                    </w:rPr>
                  </w:pPr>
                  <w:r w:rsidRPr="00F70C66">
                    <w:rPr>
                      <w:rFonts w:ascii="Calibri" w:hAnsi="Calibri" w:cs="Calibri"/>
                      <w:b/>
                      <w:color w:val="C00000"/>
                      <w:sz w:val="24"/>
                    </w:rPr>
                    <w:t>66,200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Oshkosh</w:t>
                  </w:r>
                </w:p>
              </w:tc>
              <w:tc>
                <w:tcPr>
                  <w:tcW w:w="1285" w:type="dxa"/>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5</w:t>
                  </w:r>
                  <w:r w:rsidRPr="00A97C3F">
                    <w:rPr>
                      <w:rFonts w:ascii="Calibri" w:hAnsi="Calibri" w:cs="Calibri"/>
                      <w:color w:val="000000"/>
                      <w:sz w:val="24"/>
                    </w:rPr>
                    <w:t>,</w:t>
                  </w:r>
                  <w:r>
                    <w:rPr>
                      <w:rFonts w:ascii="Calibri" w:hAnsi="Calibri" w:cs="Calibri"/>
                      <w:color w:val="000000"/>
                      <w:sz w:val="24"/>
                    </w:rPr>
                    <w:t>8</w:t>
                  </w:r>
                  <w:r w:rsidRPr="00A97C3F">
                    <w:rPr>
                      <w:rFonts w:ascii="Calibri" w:hAnsi="Calibri" w:cs="Calibri"/>
                      <w:color w:val="000000"/>
                      <w:sz w:val="24"/>
                    </w:rPr>
                    <w:t>00</w:t>
                  </w:r>
                </w:p>
              </w:tc>
            </w:tr>
            <w:tr w:rsidR="00A71B95" w:rsidRPr="00A97C3F" w:rsidTr="00A97C3F">
              <w:tc>
                <w:tcPr>
                  <w:tcW w:w="1660" w:type="dxa"/>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Whitewater</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7</w:t>
                  </w:r>
                  <w:r>
                    <w:rPr>
                      <w:rFonts w:ascii="Calibri" w:hAnsi="Calibri" w:cs="Calibri"/>
                      <w:color w:val="000000"/>
                      <w:sz w:val="24"/>
                    </w:rPr>
                    <w:t>8,8</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Eau Claire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5</w:t>
                  </w:r>
                  <w:r w:rsidRPr="00A97C3F">
                    <w:rPr>
                      <w:rFonts w:ascii="Calibri" w:hAnsi="Calibri" w:cs="Calibri"/>
                      <w:color w:val="000000"/>
                      <w:sz w:val="24"/>
                    </w:rPr>
                    <w:t>,</w:t>
                  </w:r>
                  <w:r>
                    <w:rPr>
                      <w:rFonts w:ascii="Calibri" w:hAnsi="Calibri" w:cs="Calibri"/>
                      <w:color w:val="000000"/>
                      <w:sz w:val="24"/>
                    </w:rPr>
                    <w:t>7</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F70C66" w:rsidRDefault="00A71B95" w:rsidP="00A71B95">
                  <w:pPr>
                    <w:rPr>
                      <w:rFonts w:ascii="Calibri" w:hAnsi="Calibri" w:cs="Calibri"/>
                      <w:b/>
                      <w:color w:val="C00000"/>
                      <w:sz w:val="24"/>
                    </w:rPr>
                  </w:pPr>
                  <w:r w:rsidRPr="00F70C66">
                    <w:rPr>
                      <w:rFonts w:ascii="Calibri" w:hAnsi="Calibri" w:cs="Calibri"/>
                      <w:b/>
                      <w:color w:val="C00000"/>
                      <w:sz w:val="24"/>
                    </w:rPr>
                    <w:t>River Falls</w:t>
                  </w:r>
                </w:p>
              </w:tc>
              <w:tc>
                <w:tcPr>
                  <w:tcW w:w="1285" w:type="dxa"/>
                  <w:vAlign w:val="bottom"/>
                </w:tcPr>
                <w:p w:rsidR="00A71B95" w:rsidRPr="00F70C66" w:rsidRDefault="00A71B95" w:rsidP="00A71B95">
                  <w:pPr>
                    <w:jc w:val="right"/>
                    <w:rPr>
                      <w:rFonts w:ascii="Calibri" w:hAnsi="Calibri" w:cs="Calibri"/>
                      <w:b/>
                      <w:color w:val="C00000"/>
                      <w:sz w:val="24"/>
                    </w:rPr>
                  </w:pPr>
                  <w:r w:rsidRPr="00F70C66">
                    <w:rPr>
                      <w:rFonts w:ascii="Calibri" w:hAnsi="Calibri" w:cs="Calibri"/>
                      <w:b/>
                      <w:color w:val="C00000"/>
                      <w:sz w:val="24"/>
                    </w:rPr>
                    <w:t>63,900</w:t>
                  </w:r>
                </w:p>
              </w:tc>
            </w:tr>
            <w:tr w:rsidR="00A71B95" w:rsidRPr="00A97C3F" w:rsidTr="00A97C3F">
              <w:tc>
                <w:tcPr>
                  <w:tcW w:w="1660" w:type="dxa"/>
                  <w:vAlign w:val="bottom"/>
                </w:tcPr>
                <w:p w:rsidR="00A71B95" w:rsidRPr="00F70C66" w:rsidRDefault="00A71B95" w:rsidP="00A71B95">
                  <w:pPr>
                    <w:rPr>
                      <w:rFonts w:ascii="Calibri" w:hAnsi="Calibri" w:cs="Calibri"/>
                      <w:b/>
                      <w:color w:val="C00000"/>
                      <w:sz w:val="24"/>
                    </w:rPr>
                  </w:pPr>
                  <w:r w:rsidRPr="00F70C66">
                    <w:rPr>
                      <w:rFonts w:ascii="Calibri" w:hAnsi="Calibri" w:cs="Calibri"/>
                      <w:b/>
                      <w:color w:val="C00000"/>
                      <w:sz w:val="24"/>
                    </w:rPr>
                    <w:t>River Falls</w:t>
                  </w:r>
                </w:p>
              </w:tc>
              <w:tc>
                <w:tcPr>
                  <w:tcW w:w="1285" w:type="dxa"/>
                  <w:tcBorders>
                    <w:right w:val="single" w:sz="4" w:space="0" w:color="auto"/>
                  </w:tcBorders>
                  <w:vAlign w:val="bottom"/>
                </w:tcPr>
                <w:p w:rsidR="00A71B95" w:rsidRPr="00F70C66" w:rsidRDefault="00A71B95" w:rsidP="00A71B95">
                  <w:pPr>
                    <w:jc w:val="right"/>
                    <w:rPr>
                      <w:rFonts w:ascii="Calibri" w:hAnsi="Calibri" w:cs="Calibri"/>
                      <w:b/>
                      <w:color w:val="C00000"/>
                      <w:sz w:val="24"/>
                    </w:rPr>
                  </w:pPr>
                  <w:r w:rsidRPr="00F70C66">
                    <w:rPr>
                      <w:rFonts w:ascii="Calibri" w:hAnsi="Calibri" w:cs="Calibri"/>
                      <w:b/>
                      <w:color w:val="C00000"/>
                      <w:sz w:val="24"/>
                    </w:rPr>
                    <w:t>74,500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Parkside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5,1</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La Crosse</w:t>
                  </w:r>
                </w:p>
              </w:tc>
              <w:tc>
                <w:tcPr>
                  <w:tcW w:w="1285" w:type="dxa"/>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62,</w:t>
                  </w:r>
                  <w:r>
                    <w:rPr>
                      <w:rFonts w:ascii="Calibri" w:hAnsi="Calibri" w:cs="Calibri"/>
                      <w:color w:val="000000"/>
                      <w:sz w:val="24"/>
                    </w:rPr>
                    <w:t>9</w:t>
                  </w:r>
                  <w:r w:rsidRPr="00A97C3F">
                    <w:rPr>
                      <w:rFonts w:ascii="Calibri" w:hAnsi="Calibri" w:cs="Calibri"/>
                      <w:color w:val="000000"/>
                      <w:sz w:val="24"/>
                    </w:rPr>
                    <w:t>00</w:t>
                  </w:r>
                </w:p>
              </w:tc>
            </w:tr>
            <w:tr w:rsidR="00A71B95" w:rsidRPr="00A97C3F" w:rsidTr="00A97C3F">
              <w:tc>
                <w:tcPr>
                  <w:tcW w:w="1660" w:type="dxa"/>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Parkside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7</w:t>
                  </w:r>
                  <w:r>
                    <w:rPr>
                      <w:rFonts w:ascii="Calibri" w:hAnsi="Calibri" w:cs="Calibri"/>
                      <w:color w:val="000000"/>
                      <w:sz w:val="24"/>
                    </w:rPr>
                    <w:t>3</w:t>
                  </w:r>
                  <w:r w:rsidRPr="00A97C3F">
                    <w:rPr>
                      <w:rFonts w:ascii="Calibri" w:hAnsi="Calibri" w:cs="Calibri"/>
                      <w:color w:val="000000"/>
                      <w:sz w:val="24"/>
                    </w:rPr>
                    <w:t>,</w:t>
                  </w:r>
                  <w:r>
                    <w:rPr>
                      <w:rFonts w:ascii="Calibri" w:hAnsi="Calibri" w:cs="Calibri"/>
                      <w:color w:val="000000"/>
                      <w:sz w:val="24"/>
                    </w:rPr>
                    <w:t>6</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Oshkosh</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64,</w:t>
                  </w:r>
                  <w:r>
                    <w:rPr>
                      <w:rFonts w:ascii="Calibri" w:hAnsi="Calibri" w:cs="Calibri"/>
                      <w:color w:val="000000"/>
                      <w:sz w:val="24"/>
                    </w:rPr>
                    <w:t>7</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Green Bay</w:t>
                  </w:r>
                </w:p>
              </w:tc>
              <w:tc>
                <w:tcPr>
                  <w:tcW w:w="1285" w:type="dxa"/>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2</w:t>
                  </w:r>
                  <w:r w:rsidRPr="00A97C3F">
                    <w:rPr>
                      <w:rFonts w:ascii="Calibri" w:hAnsi="Calibri" w:cs="Calibri"/>
                      <w:color w:val="000000"/>
                      <w:sz w:val="24"/>
                    </w:rPr>
                    <w:t>,</w:t>
                  </w:r>
                  <w:r>
                    <w:rPr>
                      <w:rFonts w:ascii="Calibri" w:hAnsi="Calibri" w:cs="Calibri"/>
                      <w:color w:val="000000"/>
                      <w:sz w:val="24"/>
                    </w:rPr>
                    <w:t>4</w:t>
                  </w:r>
                  <w:r w:rsidRPr="00A97C3F">
                    <w:rPr>
                      <w:rFonts w:ascii="Calibri" w:hAnsi="Calibri" w:cs="Calibri"/>
                      <w:color w:val="000000"/>
                      <w:sz w:val="24"/>
                    </w:rPr>
                    <w:t>00</w:t>
                  </w:r>
                </w:p>
              </w:tc>
            </w:tr>
            <w:tr w:rsidR="00A71B95" w:rsidRPr="00A97C3F" w:rsidTr="00A97C3F">
              <w:tc>
                <w:tcPr>
                  <w:tcW w:w="1660" w:type="dxa"/>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Stout</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7</w:t>
                  </w:r>
                  <w:r>
                    <w:rPr>
                      <w:rFonts w:ascii="Calibri" w:hAnsi="Calibri" w:cs="Calibri"/>
                      <w:color w:val="000000"/>
                      <w:sz w:val="24"/>
                    </w:rPr>
                    <w:t>3,5</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C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Stout</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63,</w:t>
                  </w:r>
                  <w:r>
                    <w:rPr>
                      <w:rFonts w:ascii="Calibri" w:hAnsi="Calibri" w:cs="Calibri"/>
                      <w:color w:val="000000"/>
                      <w:sz w:val="24"/>
                    </w:rPr>
                    <w:t>8</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C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Stout</w:t>
                  </w:r>
                </w:p>
              </w:tc>
              <w:tc>
                <w:tcPr>
                  <w:tcW w:w="1285" w:type="dxa"/>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1,0</w:t>
                  </w:r>
                  <w:r w:rsidRPr="00A97C3F">
                    <w:rPr>
                      <w:rFonts w:ascii="Calibri" w:hAnsi="Calibri" w:cs="Calibri"/>
                      <w:color w:val="000000"/>
                      <w:sz w:val="24"/>
                    </w:rPr>
                    <w:t>00</w:t>
                  </w:r>
                </w:p>
              </w:tc>
            </w:tr>
            <w:tr w:rsidR="00A71B95" w:rsidRPr="00A97C3F" w:rsidTr="00A97C3F">
              <w:tc>
                <w:tcPr>
                  <w:tcW w:w="1660" w:type="dxa"/>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Platteville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7</w:t>
                  </w:r>
                  <w:r>
                    <w:rPr>
                      <w:rFonts w:ascii="Calibri" w:hAnsi="Calibri" w:cs="Calibri"/>
                      <w:color w:val="000000"/>
                      <w:sz w:val="24"/>
                    </w:rPr>
                    <w:t>3,4</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Platteville</w:t>
                  </w:r>
                </w:p>
              </w:tc>
              <w:tc>
                <w:tcPr>
                  <w:tcW w:w="1285" w:type="dxa"/>
                  <w:tcBorders>
                    <w:right w:val="single" w:sz="4" w:space="0" w:color="auto"/>
                  </w:tcBorders>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2</w:t>
                  </w:r>
                  <w:r w:rsidRPr="00A97C3F">
                    <w:rPr>
                      <w:rFonts w:ascii="Calibri" w:hAnsi="Calibri" w:cs="Calibri"/>
                      <w:color w:val="000000"/>
                      <w:sz w:val="24"/>
                    </w:rPr>
                    <w:t>,</w:t>
                  </w:r>
                  <w:r>
                    <w:rPr>
                      <w:rFonts w:ascii="Calibri" w:hAnsi="Calibri" w:cs="Calibri"/>
                      <w:color w:val="000000"/>
                      <w:sz w:val="24"/>
                    </w:rPr>
                    <w:t>8</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A71B95" w:rsidRPr="00A97C3F" w:rsidRDefault="00A71B95" w:rsidP="00A71B95">
                  <w:pPr>
                    <w:jc w:val="right"/>
                    <w:rPr>
                      <w:rFonts w:ascii="Calibri" w:hAnsi="Calibri" w:cs="Calibri"/>
                      <w:color w:val="000000"/>
                      <w:sz w:val="24"/>
                    </w:rPr>
                  </w:pPr>
                </w:p>
              </w:tc>
              <w:tc>
                <w:tcPr>
                  <w:tcW w:w="1660" w:type="dxa"/>
                  <w:tcBorders>
                    <w:left w:val="single" w:sz="4" w:space="0" w:color="auto"/>
                  </w:tcBorders>
                  <w:vAlign w:val="bottom"/>
                </w:tcPr>
                <w:p w:rsidR="00A71B95" w:rsidRPr="00A97C3F" w:rsidRDefault="00A71B95" w:rsidP="00A71B95">
                  <w:pPr>
                    <w:rPr>
                      <w:rFonts w:ascii="Calibri" w:hAnsi="Calibri" w:cs="Calibri"/>
                      <w:color w:val="000000"/>
                      <w:sz w:val="24"/>
                    </w:rPr>
                  </w:pPr>
                  <w:r w:rsidRPr="00A97C3F">
                    <w:rPr>
                      <w:rFonts w:ascii="Calibri" w:hAnsi="Calibri" w:cs="Calibri"/>
                      <w:color w:val="000000"/>
                      <w:sz w:val="24"/>
                    </w:rPr>
                    <w:t>Platteville</w:t>
                  </w:r>
                </w:p>
              </w:tc>
              <w:tc>
                <w:tcPr>
                  <w:tcW w:w="1285" w:type="dxa"/>
                  <w:vAlign w:val="bottom"/>
                </w:tcPr>
                <w:p w:rsidR="00A71B95" w:rsidRPr="00A97C3F" w:rsidRDefault="00A71B95" w:rsidP="00A71B95">
                  <w:pPr>
                    <w:jc w:val="right"/>
                    <w:rPr>
                      <w:rFonts w:ascii="Calibri" w:hAnsi="Calibri" w:cs="Calibri"/>
                      <w:color w:val="000000"/>
                      <w:sz w:val="24"/>
                    </w:rPr>
                  </w:pPr>
                  <w:r w:rsidRPr="00A97C3F">
                    <w:rPr>
                      <w:rFonts w:ascii="Calibri" w:hAnsi="Calibri" w:cs="Calibri"/>
                      <w:color w:val="000000"/>
                      <w:sz w:val="24"/>
                    </w:rPr>
                    <w:t>58,</w:t>
                  </w:r>
                  <w:r>
                    <w:rPr>
                      <w:rFonts w:ascii="Calibri" w:hAnsi="Calibri" w:cs="Calibri"/>
                      <w:color w:val="000000"/>
                      <w:sz w:val="24"/>
                    </w:rPr>
                    <w:t>8</w:t>
                  </w:r>
                  <w:r w:rsidRPr="00A97C3F">
                    <w:rPr>
                      <w:rFonts w:ascii="Calibri" w:hAnsi="Calibri" w:cs="Calibri"/>
                      <w:color w:val="000000"/>
                      <w:sz w:val="24"/>
                    </w:rPr>
                    <w:t>00</w:t>
                  </w:r>
                </w:p>
              </w:tc>
            </w:tr>
            <w:tr w:rsidR="00917A62" w:rsidRPr="00A97C3F" w:rsidTr="00A97C3F">
              <w:tc>
                <w:tcPr>
                  <w:tcW w:w="1660" w:type="dxa"/>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Stevens Point</w:t>
                  </w:r>
                </w:p>
              </w:tc>
              <w:tc>
                <w:tcPr>
                  <w:tcW w:w="1285" w:type="dxa"/>
                  <w:tcBorders>
                    <w:right w:val="single" w:sz="4" w:space="0" w:color="auto"/>
                  </w:tcBorders>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7</w:t>
                  </w:r>
                  <w:r>
                    <w:rPr>
                      <w:rFonts w:ascii="Calibri" w:hAnsi="Calibri" w:cs="Calibri"/>
                      <w:color w:val="000000"/>
                      <w:sz w:val="24"/>
                    </w:rPr>
                    <w:t>0,9</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917A62" w:rsidRPr="00A97C3F" w:rsidRDefault="00917A62" w:rsidP="00917A62">
                  <w:pPr>
                    <w:jc w:val="right"/>
                    <w:rPr>
                      <w:rFonts w:ascii="Calibri" w:hAnsi="Calibri" w:cs="Calibri"/>
                      <w:color w:val="000000"/>
                      <w:sz w:val="24"/>
                    </w:rPr>
                  </w:pPr>
                </w:p>
              </w:tc>
              <w:tc>
                <w:tcPr>
                  <w:tcW w:w="1660" w:type="dxa"/>
                  <w:tcBorders>
                    <w:left w:val="single" w:sz="4" w:space="0" w:color="auto"/>
                  </w:tcBorders>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Green Bay</w:t>
                  </w:r>
                </w:p>
              </w:tc>
              <w:tc>
                <w:tcPr>
                  <w:tcW w:w="1285" w:type="dxa"/>
                  <w:tcBorders>
                    <w:right w:val="single" w:sz="4" w:space="0" w:color="auto"/>
                  </w:tcBorders>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6</w:t>
                  </w:r>
                  <w:r>
                    <w:rPr>
                      <w:rFonts w:ascii="Calibri" w:hAnsi="Calibri" w:cs="Calibri"/>
                      <w:color w:val="000000"/>
                      <w:sz w:val="24"/>
                    </w:rPr>
                    <w:t>1</w:t>
                  </w:r>
                  <w:r w:rsidRPr="00A97C3F">
                    <w:rPr>
                      <w:rFonts w:ascii="Calibri" w:hAnsi="Calibri" w:cs="Calibri"/>
                      <w:color w:val="000000"/>
                      <w:sz w:val="24"/>
                    </w:rPr>
                    <w:t>,</w:t>
                  </w:r>
                  <w:r>
                    <w:rPr>
                      <w:rFonts w:ascii="Calibri" w:hAnsi="Calibri" w:cs="Calibri"/>
                      <w:color w:val="000000"/>
                      <w:sz w:val="24"/>
                    </w:rPr>
                    <w:t>9</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917A62" w:rsidRPr="00A97C3F" w:rsidRDefault="00917A62" w:rsidP="00917A62">
                  <w:pPr>
                    <w:jc w:val="right"/>
                    <w:rPr>
                      <w:rFonts w:ascii="Calibri" w:hAnsi="Calibri" w:cs="Calibri"/>
                      <w:color w:val="000000"/>
                      <w:sz w:val="24"/>
                    </w:rPr>
                  </w:pPr>
                </w:p>
              </w:tc>
              <w:tc>
                <w:tcPr>
                  <w:tcW w:w="1660" w:type="dxa"/>
                  <w:tcBorders>
                    <w:left w:val="single" w:sz="4" w:space="0" w:color="auto"/>
                  </w:tcBorders>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Superior</w:t>
                  </w:r>
                </w:p>
              </w:tc>
              <w:tc>
                <w:tcPr>
                  <w:tcW w:w="1285" w:type="dxa"/>
                  <w:vAlign w:val="bottom"/>
                </w:tcPr>
                <w:p w:rsidR="00917A62" w:rsidRPr="00A97C3F" w:rsidRDefault="00917A62" w:rsidP="00917A62">
                  <w:pPr>
                    <w:jc w:val="right"/>
                    <w:rPr>
                      <w:rFonts w:ascii="Calibri" w:hAnsi="Calibri" w:cs="Calibri"/>
                      <w:color w:val="000000"/>
                      <w:sz w:val="24"/>
                    </w:rPr>
                  </w:pPr>
                  <w:r>
                    <w:rPr>
                      <w:rFonts w:ascii="Calibri" w:hAnsi="Calibri" w:cs="Calibri"/>
                      <w:color w:val="000000"/>
                      <w:sz w:val="24"/>
                    </w:rPr>
                    <w:t>56</w:t>
                  </w:r>
                  <w:r w:rsidRPr="00A97C3F">
                    <w:rPr>
                      <w:rFonts w:ascii="Calibri" w:hAnsi="Calibri" w:cs="Calibri"/>
                      <w:color w:val="000000"/>
                      <w:sz w:val="24"/>
                    </w:rPr>
                    <w:t>,900</w:t>
                  </w:r>
                </w:p>
              </w:tc>
            </w:tr>
            <w:tr w:rsidR="00917A62" w:rsidRPr="00A97C3F" w:rsidTr="00A97C3F">
              <w:tc>
                <w:tcPr>
                  <w:tcW w:w="1660" w:type="dxa"/>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Green Bay</w:t>
                  </w:r>
                </w:p>
              </w:tc>
              <w:tc>
                <w:tcPr>
                  <w:tcW w:w="1285" w:type="dxa"/>
                  <w:tcBorders>
                    <w:right w:val="single" w:sz="4" w:space="0" w:color="auto"/>
                  </w:tcBorders>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69,</w:t>
                  </w:r>
                  <w:r>
                    <w:rPr>
                      <w:rFonts w:ascii="Calibri" w:hAnsi="Calibri" w:cs="Calibri"/>
                      <w:color w:val="000000"/>
                      <w:sz w:val="24"/>
                    </w:rPr>
                    <w:t>3</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917A62" w:rsidRPr="00A97C3F" w:rsidRDefault="00917A62" w:rsidP="00917A62">
                  <w:pPr>
                    <w:jc w:val="right"/>
                    <w:rPr>
                      <w:rFonts w:ascii="Calibri" w:hAnsi="Calibri" w:cs="Calibri"/>
                      <w:color w:val="000000"/>
                      <w:sz w:val="24"/>
                    </w:rPr>
                  </w:pPr>
                </w:p>
              </w:tc>
              <w:tc>
                <w:tcPr>
                  <w:tcW w:w="1660" w:type="dxa"/>
                  <w:tcBorders>
                    <w:left w:val="single" w:sz="4" w:space="0" w:color="auto"/>
                  </w:tcBorders>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Stevens Point</w:t>
                  </w:r>
                </w:p>
              </w:tc>
              <w:tc>
                <w:tcPr>
                  <w:tcW w:w="1285" w:type="dxa"/>
                  <w:tcBorders>
                    <w:right w:val="single" w:sz="4" w:space="0" w:color="auto"/>
                  </w:tcBorders>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5</w:t>
                  </w:r>
                  <w:r>
                    <w:rPr>
                      <w:rFonts w:ascii="Calibri" w:hAnsi="Calibri" w:cs="Calibri"/>
                      <w:color w:val="000000"/>
                      <w:sz w:val="24"/>
                    </w:rPr>
                    <w:t>7</w:t>
                  </w:r>
                  <w:r w:rsidRPr="00A97C3F">
                    <w:rPr>
                      <w:rFonts w:ascii="Calibri" w:hAnsi="Calibri" w:cs="Calibri"/>
                      <w:color w:val="000000"/>
                      <w:sz w:val="24"/>
                    </w:rPr>
                    <w:t>,</w:t>
                  </w:r>
                  <w:r>
                    <w:rPr>
                      <w:rFonts w:ascii="Calibri" w:hAnsi="Calibri" w:cs="Calibri"/>
                      <w:color w:val="000000"/>
                      <w:sz w:val="24"/>
                    </w:rPr>
                    <w:t>8</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917A62" w:rsidRPr="00A97C3F" w:rsidRDefault="00917A62" w:rsidP="00917A62">
                  <w:pPr>
                    <w:jc w:val="right"/>
                    <w:rPr>
                      <w:rFonts w:ascii="Calibri" w:hAnsi="Calibri" w:cs="Calibri"/>
                      <w:color w:val="000000"/>
                      <w:sz w:val="24"/>
                    </w:rPr>
                  </w:pPr>
                </w:p>
              </w:tc>
              <w:tc>
                <w:tcPr>
                  <w:tcW w:w="1660" w:type="dxa"/>
                  <w:tcBorders>
                    <w:left w:val="single" w:sz="4" w:space="0" w:color="auto"/>
                  </w:tcBorders>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Parkside</w:t>
                  </w:r>
                </w:p>
              </w:tc>
              <w:tc>
                <w:tcPr>
                  <w:tcW w:w="1285" w:type="dxa"/>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56,</w:t>
                  </w:r>
                  <w:r>
                    <w:rPr>
                      <w:rFonts w:ascii="Calibri" w:hAnsi="Calibri" w:cs="Calibri"/>
                      <w:color w:val="000000"/>
                      <w:sz w:val="24"/>
                    </w:rPr>
                    <w:t>6</w:t>
                  </w:r>
                  <w:r w:rsidRPr="00A97C3F">
                    <w:rPr>
                      <w:rFonts w:ascii="Calibri" w:hAnsi="Calibri" w:cs="Calibri"/>
                      <w:color w:val="000000"/>
                      <w:sz w:val="24"/>
                    </w:rPr>
                    <w:t>00</w:t>
                  </w:r>
                </w:p>
              </w:tc>
            </w:tr>
            <w:tr w:rsidR="00917A62" w:rsidRPr="00A97C3F" w:rsidTr="00A97C3F">
              <w:tc>
                <w:tcPr>
                  <w:tcW w:w="1660" w:type="dxa"/>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Superior</w:t>
                  </w:r>
                </w:p>
              </w:tc>
              <w:tc>
                <w:tcPr>
                  <w:tcW w:w="1285" w:type="dxa"/>
                  <w:tcBorders>
                    <w:right w:val="single" w:sz="4" w:space="0" w:color="auto"/>
                  </w:tcBorders>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67,</w:t>
                  </w:r>
                  <w:r>
                    <w:rPr>
                      <w:rFonts w:ascii="Calibri" w:hAnsi="Calibri" w:cs="Calibri"/>
                      <w:color w:val="000000"/>
                      <w:sz w:val="24"/>
                    </w:rPr>
                    <w:t>5</w:t>
                  </w:r>
                  <w:r w:rsidRPr="00A97C3F">
                    <w:rPr>
                      <w:rFonts w:ascii="Calibri" w:hAnsi="Calibri" w:cs="Calibri"/>
                      <w:color w:val="000000"/>
                      <w:sz w:val="24"/>
                    </w:rPr>
                    <w:t>00</w:t>
                  </w:r>
                </w:p>
              </w:tc>
              <w:tc>
                <w:tcPr>
                  <w:tcW w:w="556" w:type="dxa"/>
                  <w:tcBorders>
                    <w:top w:val="nil"/>
                    <w:left w:val="single" w:sz="4" w:space="0" w:color="auto"/>
                    <w:bottom w:val="nil"/>
                    <w:right w:val="single" w:sz="4" w:space="0" w:color="auto"/>
                  </w:tcBorders>
                </w:tcPr>
                <w:p w:rsidR="00917A62" w:rsidRPr="00A97C3F" w:rsidRDefault="00917A62" w:rsidP="00917A62">
                  <w:pPr>
                    <w:jc w:val="right"/>
                    <w:rPr>
                      <w:rFonts w:ascii="Calibri" w:hAnsi="Calibri" w:cs="Calibri"/>
                      <w:color w:val="000000"/>
                      <w:sz w:val="24"/>
                    </w:rPr>
                  </w:pPr>
                </w:p>
              </w:tc>
              <w:tc>
                <w:tcPr>
                  <w:tcW w:w="1660" w:type="dxa"/>
                  <w:tcBorders>
                    <w:left w:val="single" w:sz="4" w:space="0" w:color="auto"/>
                  </w:tcBorders>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Superior</w:t>
                  </w:r>
                </w:p>
              </w:tc>
              <w:tc>
                <w:tcPr>
                  <w:tcW w:w="1285" w:type="dxa"/>
                  <w:tcBorders>
                    <w:right w:val="single" w:sz="4" w:space="0" w:color="auto"/>
                  </w:tcBorders>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5</w:t>
                  </w:r>
                  <w:r>
                    <w:rPr>
                      <w:rFonts w:ascii="Calibri" w:hAnsi="Calibri" w:cs="Calibri"/>
                      <w:color w:val="000000"/>
                      <w:sz w:val="24"/>
                    </w:rPr>
                    <w:t>6</w:t>
                  </w:r>
                  <w:r w:rsidRPr="00A97C3F">
                    <w:rPr>
                      <w:rFonts w:ascii="Calibri" w:hAnsi="Calibri" w:cs="Calibri"/>
                      <w:color w:val="000000"/>
                      <w:sz w:val="24"/>
                    </w:rPr>
                    <w:t>,</w:t>
                  </w:r>
                  <w:r>
                    <w:rPr>
                      <w:rFonts w:ascii="Calibri" w:hAnsi="Calibri" w:cs="Calibri"/>
                      <w:color w:val="000000"/>
                      <w:sz w:val="24"/>
                    </w:rPr>
                    <w:t>1</w:t>
                  </w:r>
                  <w:r w:rsidRPr="00A97C3F">
                    <w:rPr>
                      <w:rFonts w:ascii="Calibri" w:hAnsi="Calibri" w:cs="Calibri"/>
                      <w:color w:val="000000"/>
                      <w:sz w:val="24"/>
                    </w:rPr>
                    <w:t>00</w:t>
                  </w:r>
                </w:p>
              </w:tc>
              <w:tc>
                <w:tcPr>
                  <w:tcW w:w="415" w:type="dxa"/>
                  <w:tcBorders>
                    <w:top w:val="nil"/>
                    <w:left w:val="single" w:sz="4" w:space="0" w:color="auto"/>
                    <w:bottom w:val="nil"/>
                    <w:right w:val="single" w:sz="4" w:space="0" w:color="auto"/>
                  </w:tcBorders>
                </w:tcPr>
                <w:p w:rsidR="00917A62" w:rsidRPr="00A97C3F" w:rsidRDefault="00917A62" w:rsidP="00917A62">
                  <w:pPr>
                    <w:jc w:val="right"/>
                    <w:rPr>
                      <w:rFonts w:ascii="Calibri" w:hAnsi="Calibri" w:cs="Calibri"/>
                      <w:color w:val="000000"/>
                      <w:sz w:val="24"/>
                    </w:rPr>
                  </w:pPr>
                </w:p>
              </w:tc>
              <w:tc>
                <w:tcPr>
                  <w:tcW w:w="1660" w:type="dxa"/>
                  <w:tcBorders>
                    <w:left w:val="single" w:sz="4" w:space="0" w:color="auto"/>
                  </w:tcBorders>
                  <w:vAlign w:val="bottom"/>
                </w:tcPr>
                <w:p w:rsidR="00917A62" w:rsidRPr="00A97C3F" w:rsidRDefault="00917A62" w:rsidP="00917A62">
                  <w:pPr>
                    <w:rPr>
                      <w:rFonts w:ascii="Calibri" w:hAnsi="Calibri" w:cs="Calibri"/>
                      <w:color w:val="000000"/>
                      <w:sz w:val="24"/>
                    </w:rPr>
                  </w:pPr>
                  <w:r w:rsidRPr="00A97C3F">
                    <w:rPr>
                      <w:rFonts w:ascii="Calibri" w:hAnsi="Calibri" w:cs="Calibri"/>
                      <w:color w:val="000000"/>
                      <w:sz w:val="24"/>
                    </w:rPr>
                    <w:t>Stevens Point</w:t>
                  </w:r>
                </w:p>
              </w:tc>
              <w:tc>
                <w:tcPr>
                  <w:tcW w:w="1285" w:type="dxa"/>
                  <w:vAlign w:val="bottom"/>
                </w:tcPr>
                <w:p w:rsidR="00917A62" w:rsidRPr="00A97C3F" w:rsidRDefault="00917A62" w:rsidP="00917A62">
                  <w:pPr>
                    <w:jc w:val="right"/>
                    <w:rPr>
                      <w:rFonts w:ascii="Calibri" w:hAnsi="Calibri" w:cs="Calibri"/>
                      <w:color w:val="000000"/>
                      <w:sz w:val="24"/>
                    </w:rPr>
                  </w:pPr>
                  <w:r w:rsidRPr="00A97C3F">
                    <w:rPr>
                      <w:rFonts w:ascii="Calibri" w:hAnsi="Calibri" w:cs="Calibri"/>
                      <w:color w:val="000000"/>
                      <w:sz w:val="24"/>
                    </w:rPr>
                    <w:t>5</w:t>
                  </w:r>
                  <w:r>
                    <w:rPr>
                      <w:rFonts w:ascii="Calibri" w:hAnsi="Calibri" w:cs="Calibri"/>
                      <w:color w:val="000000"/>
                      <w:sz w:val="24"/>
                    </w:rPr>
                    <w:t>6</w:t>
                  </w:r>
                  <w:r w:rsidRPr="00A97C3F">
                    <w:rPr>
                      <w:rFonts w:ascii="Calibri" w:hAnsi="Calibri" w:cs="Calibri"/>
                      <w:color w:val="000000"/>
                      <w:sz w:val="24"/>
                    </w:rPr>
                    <w:t>,</w:t>
                  </w:r>
                  <w:r>
                    <w:rPr>
                      <w:rFonts w:ascii="Calibri" w:hAnsi="Calibri" w:cs="Calibri"/>
                      <w:color w:val="000000"/>
                      <w:sz w:val="24"/>
                    </w:rPr>
                    <w:t>0</w:t>
                  </w:r>
                  <w:r w:rsidRPr="00A97C3F">
                    <w:rPr>
                      <w:rFonts w:ascii="Calibri" w:hAnsi="Calibri" w:cs="Calibri"/>
                      <w:color w:val="000000"/>
                      <w:sz w:val="24"/>
                    </w:rPr>
                    <w:t>00</w:t>
                  </w:r>
                </w:p>
              </w:tc>
            </w:tr>
            <w:bookmarkEnd w:id="12"/>
          </w:tbl>
          <w:p w:rsidR="00A97C3F" w:rsidRPr="00A97C3F" w:rsidRDefault="00A97C3F" w:rsidP="00A97C3F">
            <w:pPr>
              <w:rPr>
                <w:i/>
                <w:sz w:val="24"/>
              </w:rPr>
            </w:pPr>
          </w:p>
          <w:p w:rsidR="00A97C3F" w:rsidRDefault="00A97C3F" w:rsidP="00CE28FA"/>
        </w:tc>
      </w:tr>
    </w:tbl>
    <w:p w:rsidR="00A97C3F" w:rsidRDefault="00A97C3F" w:rsidP="00CE28FA"/>
    <w:sectPr w:rsidR="00A97C3F" w:rsidSect="00166F0D">
      <w:footerReference w:type="first" r:id="rId2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6AC" w:rsidRDefault="002016AC" w:rsidP="00166F0D">
      <w:pPr>
        <w:spacing w:after="0" w:line="240" w:lineRule="auto"/>
      </w:pPr>
      <w:r>
        <w:separator/>
      </w:r>
    </w:p>
  </w:endnote>
  <w:endnote w:type="continuationSeparator" w:id="0">
    <w:p w:rsidR="002016AC" w:rsidRDefault="002016AC" w:rsidP="0016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2E" w:rsidRDefault="0043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05835"/>
      <w:docPartObj>
        <w:docPartGallery w:val="Page Numbers (Bottom of Page)"/>
        <w:docPartUnique/>
      </w:docPartObj>
    </w:sdtPr>
    <w:sdtEndPr>
      <w:rPr>
        <w:color w:val="7F7F7F" w:themeColor="background1" w:themeShade="7F"/>
        <w:spacing w:val="60"/>
      </w:rPr>
    </w:sdtEndPr>
    <w:sdtContent>
      <w:p w:rsidR="008C5BFE" w:rsidRDefault="008C5B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58B8" w:rsidRPr="007058B8">
          <w:rPr>
            <w:b/>
            <w:bCs/>
            <w:noProof/>
          </w:rPr>
          <w:t>10</w:t>
        </w:r>
        <w:r>
          <w:rPr>
            <w:b/>
            <w:bCs/>
            <w:noProof/>
          </w:rPr>
          <w:fldChar w:fldCharType="end"/>
        </w:r>
        <w:r>
          <w:rPr>
            <w:b/>
            <w:bCs/>
          </w:rPr>
          <w:t xml:space="preserve"> | </w:t>
        </w:r>
        <w:r>
          <w:rPr>
            <w:color w:val="7F7F7F" w:themeColor="background1" w:themeShade="7F"/>
            <w:spacing w:val="60"/>
          </w:rPr>
          <w:t>Page</w:t>
        </w:r>
      </w:p>
    </w:sdtContent>
  </w:sdt>
  <w:p w:rsidR="008C5BFE" w:rsidRDefault="008C5B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7000"/>
      <w:docPartObj>
        <w:docPartGallery w:val="Page Numbers (Bottom of Page)"/>
        <w:docPartUnique/>
      </w:docPartObj>
    </w:sdtPr>
    <w:sdtEndPr>
      <w:rPr>
        <w:color w:val="7F7F7F" w:themeColor="background1" w:themeShade="7F"/>
        <w:spacing w:val="60"/>
      </w:rPr>
    </w:sdtEndPr>
    <w:sdtContent>
      <w:p w:rsidR="008C5BFE" w:rsidRDefault="008C5B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B74EB" w:rsidRPr="001B74EB">
          <w:rPr>
            <w:b/>
            <w:bCs/>
            <w:noProof/>
          </w:rPr>
          <w:t>1</w:t>
        </w:r>
        <w:r>
          <w:rPr>
            <w:b/>
            <w:bCs/>
            <w:noProof/>
          </w:rPr>
          <w:fldChar w:fldCharType="end"/>
        </w:r>
        <w:r>
          <w:rPr>
            <w:b/>
            <w:bCs/>
          </w:rPr>
          <w:t xml:space="preserve"> | </w:t>
        </w:r>
        <w:r>
          <w:rPr>
            <w:color w:val="7F7F7F" w:themeColor="background1" w:themeShade="7F"/>
            <w:spacing w:val="60"/>
          </w:rPr>
          <w:t>Page</w:t>
        </w:r>
      </w:p>
    </w:sdtContent>
  </w:sdt>
  <w:p w:rsidR="008C5BFE" w:rsidRDefault="008C5BFE">
    <w:pPr>
      <w:pStyle w:val="Footer"/>
    </w:pPr>
    <w:r>
      <w:t>Note: Expenditures are $7.5 million higher than budgeted due primarily to 1) funds such as credit outreach and coop are not included in our budget but expenses are included, 2) some small funds such as the environmental scholarship was not budgeted, 3) GPR debt service was $2.3 million more than budgeted, and 4) Fund 131 spent $2 million more than budgeted.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782660"/>
      <w:docPartObj>
        <w:docPartGallery w:val="Page Numbers (Bottom of Page)"/>
        <w:docPartUnique/>
      </w:docPartObj>
    </w:sdtPr>
    <w:sdtEndPr>
      <w:rPr>
        <w:color w:val="7F7F7F" w:themeColor="background1" w:themeShade="7F"/>
        <w:spacing w:val="60"/>
      </w:rPr>
    </w:sdtEndPr>
    <w:sdtContent>
      <w:p w:rsidR="008C5BFE" w:rsidRDefault="008C5B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B74EB" w:rsidRPr="001B74EB">
          <w:rPr>
            <w:b/>
            <w:bCs/>
            <w:noProof/>
          </w:rPr>
          <w:t>6</w:t>
        </w:r>
        <w:r>
          <w:rPr>
            <w:b/>
            <w:bCs/>
            <w:noProof/>
          </w:rPr>
          <w:fldChar w:fldCharType="end"/>
        </w:r>
        <w:r>
          <w:rPr>
            <w:b/>
            <w:bCs/>
          </w:rPr>
          <w:t xml:space="preserve"> | </w:t>
        </w:r>
        <w:r>
          <w:rPr>
            <w:color w:val="7F7F7F" w:themeColor="background1" w:themeShade="7F"/>
            <w:spacing w:val="60"/>
          </w:rPr>
          <w:t>Page</w:t>
        </w:r>
      </w:p>
    </w:sdtContent>
  </w:sdt>
  <w:p w:rsidR="008C5BFE" w:rsidRDefault="008C5BFE">
    <w:pPr>
      <w:pStyle w:val="Footer"/>
    </w:pPr>
    <w:r>
      <w:t xml:space="preserve">Note: Expenditures are higher than budgeted due primarily to 1) funds such as credit outreach and coop are not included in our </w:t>
    </w:r>
    <w:r w:rsidR="00EA2519">
      <w:t>budget,</w:t>
    </w:r>
    <w:r>
      <w:t xml:space="preserve"> but expenses are included, 2) some small funds such as the environmental scholarship did not have a budget, 3) GPR debt service was more than budgeted, and 4) Fund 131 spent more than budgeted.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890553"/>
      <w:docPartObj>
        <w:docPartGallery w:val="Page Numbers (Bottom of Page)"/>
        <w:docPartUnique/>
      </w:docPartObj>
    </w:sdtPr>
    <w:sdtEndPr>
      <w:rPr>
        <w:color w:val="7F7F7F" w:themeColor="background1" w:themeShade="7F"/>
        <w:spacing w:val="60"/>
      </w:rPr>
    </w:sdtEndPr>
    <w:sdtContent>
      <w:p w:rsidR="008C5BFE" w:rsidRDefault="008C5BF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058B8" w:rsidRPr="007058B8">
          <w:rPr>
            <w:b/>
            <w:bCs/>
            <w:noProof/>
          </w:rPr>
          <w:t>7</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6AC" w:rsidRDefault="002016AC" w:rsidP="00166F0D">
      <w:pPr>
        <w:spacing w:after="0" w:line="240" w:lineRule="auto"/>
      </w:pPr>
      <w:r>
        <w:separator/>
      </w:r>
    </w:p>
  </w:footnote>
  <w:footnote w:type="continuationSeparator" w:id="0">
    <w:p w:rsidR="002016AC" w:rsidRDefault="002016AC" w:rsidP="00166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2E" w:rsidRDefault="0043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2E" w:rsidRDefault="00433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52E" w:rsidRDefault="00433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E32"/>
    <w:multiLevelType w:val="hybridMultilevel"/>
    <w:tmpl w:val="DC2AC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A16AC4"/>
    <w:multiLevelType w:val="hybridMultilevel"/>
    <w:tmpl w:val="29DC253E"/>
    <w:lvl w:ilvl="0" w:tplc="778811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461C"/>
    <w:multiLevelType w:val="hybridMultilevel"/>
    <w:tmpl w:val="BEEA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77DF7"/>
    <w:multiLevelType w:val="hybridMultilevel"/>
    <w:tmpl w:val="69E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B111D"/>
    <w:multiLevelType w:val="hybridMultilevel"/>
    <w:tmpl w:val="CEC4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E0C9B"/>
    <w:multiLevelType w:val="hybridMultilevel"/>
    <w:tmpl w:val="FD44AD0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66011"/>
    <w:multiLevelType w:val="hybridMultilevel"/>
    <w:tmpl w:val="DC2ACD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9A46CB5"/>
    <w:multiLevelType w:val="hybridMultilevel"/>
    <w:tmpl w:val="3D1C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36F45"/>
    <w:multiLevelType w:val="hybridMultilevel"/>
    <w:tmpl w:val="DAE28956"/>
    <w:lvl w:ilvl="0" w:tplc="EC68D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2"/>
  </w:num>
  <w:num w:numId="5">
    <w:abstractNumId w:val="1"/>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70C"/>
    <w:rsid w:val="000055E7"/>
    <w:rsid w:val="0001368F"/>
    <w:rsid w:val="0002082E"/>
    <w:rsid w:val="00032BF8"/>
    <w:rsid w:val="00067C8C"/>
    <w:rsid w:val="000748B2"/>
    <w:rsid w:val="00076EB3"/>
    <w:rsid w:val="000A4B16"/>
    <w:rsid w:val="000C7D8B"/>
    <w:rsid w:val="000D70C8"/>
    <w:rsid w:val="00101B92"/>
    <w:rsid w:val="00166F0D"/>
    <w:rsid w:val="00172529"/>
    <w:rsid w:val="00194747"/>
    <w:rsid w:val="001B74EB"/>
    <w:rsid w:val="001C2D2E"/>
    <w:rsid w:val="002016AC"/>
    <w:rsid w:val="00207340"/>
    <w:rsid w:val="002537F1"/>
    <w:rsid w:val="002A621E"/>
    <w:rsid w:val="0031507E"/>
    <w:rsid w:val="0032417F"/>
    <w:rsid w:val="003660FF"/>
    <w:rsid w:val="003705A6"/>
    <w:rsid w:val="003B36AF"/>
    <w:rsid w:val="003B492B"/>
    <w:rsid w:val="003B7F72"/>
    <w:rsid w:val="0040067B"/>
    <w:rsid w:val="0043352E"/>
    <w:rsid w:val="0045346C"/>
    <w:rsid w:val="00456233"/>
    <w:rsid w:val="00461EC0"/>
    <w:rsid w:val="00492D2B"/>
    <w:rsid w:val="004B0C47"/>
    <w:rsid w:val="004C6540"/>
    <w:rsid w:val="0054770C"/>
    <w:rsid w:val="0057480B"/>
    <w:rsid w:val="005A1296"/>
    <w:rsid w:val="005B672B"/>
    <w:rsid w:val="005C297C"/>
    <w:rsid w:val="005F135C"/>
    <w:rsid w:val="00622733"/>
    <w:rsid w:val="00626ED0"/>
    <w:rsid w:val="00635C44"/>
    <w:rsid w:val="00674BCD"/>
    <w:rsid w:val="006D2D4A"/>
    <w:rsid w:val="006E73BF"/>
    <w:rsid w:val="006F373E"/>
    <w:rsid w:val="007058B8"/>
    <w:rsid w:val="00712288"/>
    <w:rsid w:val="007161B9"/>
    <w:rsid w:val="0073355C"/>
    <w:rsid w:val="00733DBA"/>
    <w:rsid w:val="00772009"/>
    <w:rsid w:val="007B1310"/>
    <w:rsid w:val="007E5458"/>
    <w:rsid w:val="00832EBE"/>
    <w:rsid w:val="008B08E1"/>
    <w:rsid w:val="008B17C8"/>
    <w:rsid w:val="008C5BFE"/>
    <w:rsid w:val="008C789A"/>
    <w:rsid w:val="008E6564"/>
    <w:rsid w:val="008F5E7B"/>
    <w:rsid w:val="00917A62"/>
    <w:rsid w:val="00940277"/>
    <w:rsid w:val="00956456"/>
    <w:rsid w:val="009703CE"/>
    <w:rsid w:val="00976BF5"/>
    <w:rsid w:val="009903DE"/>
    <w:rsid w:val="009F1536"/>
    <w:rsid w:val="009F1F3D"/>
    <w:rsid w:val="00A00ECA"/>
    <w:rsid w:val="00A16F0F"/>
    <w:rsid w:val="00A32798"/>
    <w:rsid w:val="00A3384C"/>
    <w:rsid w:val="00A41EB9"/>
    <w:rsid w:val="00A71B95"/>
    <w:rsid w:val="00A83A17"/>
    <w:rsid w:val="00A97C3F"/>
    <w:rsid w:val="00AD4DF9"/>
    <w:rsid w:val="00B04969"/>
    <w:rsid w:val="00B41435"/>
    <w:rsid w:val="00B63DAB"/>
    <w:rsid w:val="00BA25F2"/>
    <w:rsid w:val="00BB0BFB"/>
    <w:rsid w:val="00C434DB"/>
    <w:rsid w:val="00C93D8E"/>
    <w:rsid w:val="00C940E5"/>
    <w:rsid w:val="00CC0E56"/>
    <w:rsid w:val="00CC56AA"/>
    <w:rsid w:val="00CE28FA"/>
    <w:rsid w:val="00CF024A"/>
    <w:rsid w:val="00CF5CD8"/>
    <w:rsid w:val="00D40692"/>
    <w:rsid w:val="00D46F06"/>
    <w:rsid w:val="00D85484"/>
    <w:rsid w:val="00DE0934"/>
    <w:rsid w:val="00DE2771"/>
    <w:rsid w:val="00DF364C"/>
    <w:rsid w:val="00E34560"/>
    <w:rsid w:val="00E45C8A"/>
    <w:rsid w:val="00EA2519"/>
    <w:rsid w:val="00ED6F62"/>
    <w:rsid w:val="00EF34F0"/>
    <w:rsid w:val="00F156DF"/>
    <w:rsid w:val="00F70C66"/>
    <w:rsid w:val="00FA4BC7"/>
    <w:rsid w:val="00FB5C45"/>
    <w:rsid w:val="00FF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0B18-FF30-4198-952C-5C6BEAA2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70C"/>
  </w:style>
  <w:style w:type="paragraph" w:styleId="Heading1">
    <w:name w:val="heading 1"/>
    <w:basedOn w:val="Normal"/>
    <w:next w:val="Normal"/>
    <w:link w:val="Heading1Char"/>
    <w:uiPriority w:val="9"/>
    <w:qFormat/>
    <w:rsid w:val="002537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C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0C"/>
    <w:pPr>
      <w:ind w:left="720"/>
      <w:contextualSpacing/>
    </w:pPr>
  </w:style>
  <w:style w:type="character" w:customStyle="1" w:styleId="Heading1Char">
    <w:name w:val="Heading 1 Char"/>
    <w:basedOn w:val="DefaultParagraphFont"/>
    <w:link w:val="Heading1"/>
    <w:uiPriority w:val="9"/>
    <w:rsid w:val="002537F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537F1"/>
    <w:pPr>
      <w:keepNext w:val="0"/>
      <w:keepLines w:val="0"/>
      <w:spacing w:before="0" w:after="160"/>
      <w:outlineLvl w:val="9"/>
    </w:pPr>
    <w:rPr>
      <w:rFonts w:asciiTheme="minorHAnsi" w:eastAsiaTheme="minorHAnsi" w:hAnsiTheme="minorHAnsi" w:cstheme="minorBidi"/>
      <w:b/>
      <w:color w:val="0070C0"/>
      <w:sz w:val="24"/>
      <w:szCs w:val="22"/>
    </w:rPr>
  </w:style>
  <w:style w:type="paragraph" w:styleId="TOC1">
    <w:name w:val="toc 1"/>
    <w:basedOn w:val="Normal"/>
    <w:next w:val="Normal"/>
    <w:autoRedefine/>
    <w:uiPriority w:val="39"/>
    <w:unhideWhenUsed/>
    <w:rsid w:val="002537F1"/>
    <w:pPr>
      <w:tabs>
        <w:tab w:val="right" w:leader="dot" w:pos="8190"/>
      </w:tabs>
      <w:spacing w:after="100"/>
    </w:pPr>
  </w:style>
  <w:style w:type="character" w:styleId="Hyperlink">
    <w:name w:val="Hyperlink"/>
    <w:basedOn w:val="DefaultParagraphFont"/>
    <w:uiPriority w:val="99"/>
    <w:unhideWhenUsed/>
    <w:rsid w:val="002537F1"/>
    <w:rPr>
      <w:color w:val="0563C1" w:themeColor="hyperlink"/>
      <w:u w:val="single"/>
    </w:rPr>
  </w:style>
  <w:style w:type="paragraph" w:styleId="Header">
    <w:name w:val="header"/>
    <w:basedOn w:val="Normal"/>
    <w:link w:val="HeaderChar"/>
    <w:uiPriority w:val="99"/>
    <w:unhideWhenUsed/>
    <w:rsid w:val="0016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0D"/>
  </w:style>
  <w:style w:type="paragraph" w:styleId="Footer">
    <w:name w:val="footer"/>
    <w:basedOn w:val="Normal"/>
    <w:link w:val="FooterChar"/>
    <w:uiPriority w:val="99"/>
    <w:unhideWhenUsed/>
    <w:rsid w:val="0016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0D"/>
  </w:style>
  <w:style w:type="table" w:styleId="TableGridLight">
    <w:name w:val="Grid Table Light"/>
    <w:basedOn w:val="TableNormal"/>
    <w:uiPriority w:val="40"/>
    <w:rsid w:val="00FB5C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067C8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8C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0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8099">
      <w:bodyDiv w:val="1"/>
      <w:marLeft w:val="0"/>
      <w:marRight w:val="0"/>
      <w:marTop w:val="0"/>
      <w:marBottom w:val="0"/>
      <w:divBdr>
        <w:top w:val="none" w:sz="0" w:space="0" w:color="auto"/>
        <w:left w:val="none" w:sz="0" w:space="0" w:color="auto"/>
        <w:bottom w:val="none" w:sz="0" w:space="0" w:color="auto"/>
        <w:right w:val="none" w:sz="0" w:space="0" w:color="auto"/>
      </w:divBdr>
    </w:div>
    <w:div w:id="17903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chart" Target="charts/chart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alconshare\home\W3080580\FY19\FY19%20budget%20in%20brie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lconshare\home\W3080580\FY19\FY19%20budget%20in%20brief.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lconshare\home\W3080580\FY19\FY19%20budget%20in%20brief.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falconshare\home\W3080580\FY19\FY19%20budget%20in%20brief.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alconshare\home\W3080580\FY19\FY19%20budget%20in%20brie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alconshare\home\W3080580\FY19\FY19%20budget%20in%20brief.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alconshare\home\W3080580\FY19\FY19%20budget%20in%20brief.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BUDGETED Sources of Funds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3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555009571172027E-2"/>
          <c:y val="0.18064347590354021"/>
          <c:w val="0.76271955479249309"/>
          <c:h val="0.66854090421795864"/>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FCE-4F7C-9B12-8678705161C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FCE-4F7C-9B12-8678705161C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FCE-4F7C-9B12-8678705161C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FCE-4F7C-9B12-8678705161C7}"/>
              </c:ext>
            </c:extLst>
          </c:dPt>
          <c:dPt>
            <c:idx val="4"/>
            <c:bubble3D val="0"/>
            <c:spPr>
              <a:solidFill>
                <a:srgbClr val="7030A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FCE-4F7C-9B12-8678705161C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FCE-4F7C-9B12-8678705161C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FCE-4F7C-9B12-8678705161C7}"/>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FCE-4F7C-9B12-8678705161C7}"/>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7FCE-4F7C-9B12-8678705161C7}"/>
                </c:ext>
              </c:extLst>
            </c:dLbl>
            <c:dLbl>
              <c:idx val="1"/>
              <c:layout>
                <c:manualLayout>
                  <c:x val="2.6065162907268024E-2"/>
                  <c:y val="-0.1471048513302033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FCE-4F7C-9B12-8678705161C7}"/>
                </c:ext>
              </c:extLst>
            </c:dLbl>
            <c:dLbl>
              <c:idx val="2"/>
              <c:layout>
                <c:manualLayout>
                  <c:x val="4.0100250626566416E-3"/>
                  <c:y val="1.2519561815336464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FCE-4F7C-9B12-8678705161C7}"/>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7FCE-4F7C-9B12-8678705161C7}"/>
                </c:ext>
              </c:extLst>
            </c:dLbl>
            <c:dLbl>
              <c:idx val="4"/>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7FCE-4F7C-9B12-8678705161C7}"/>
                </c:ext>
              </c:extLst>
            </c:dLbl>
            <c:dLbl>
              <c:idx val="5"/>
              <c:layout>
                <c:manualLayout>
                  <c:x val="1.0422094841063054E-2"/>
                  <c:y val="-0.2777538520251169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1188110605507298"/>
                      <c:h val="0.17749959878029206"/>
                    </c:manualLayout>
                  </c15:layout>
                </c:ext>
                <c:ext xmlns:c16="http://schemas.microsoft.com/office/drawing/2014/chart" uri="{C3380CC4-5D6E-409C-BE32-E72D297353CC}">
                  <c16:uniqueId val="{0000000B-7FCE-4F7C-9B12-8678705161C7}"/>
                </c:ext>
              </c:extLst>
            </c:dLbl>
            <c:dLbl>
              <c:idx val="6"/>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7FCE-4F7C-9B12-8678705161C7}"/>
                </c:ext>
              </c:extLst>
            </c:dLbl>
            <c:dLbl>
              <c:idx val="7"/>
              <c:layout>
                <c:manualLayout>
                  <c:x val="2.5062577704102629E-2"/>
                  <c:y val="2.1909233176838811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6457134963392731"/>
                      <c:h val="0.13549295774647888"/>
                    </c:manualLayout>
                  </c15:layout>
                </c:ext>
                <c:ext xmlns:c16="http://schemas.microsoft.com/office/drawing/2014/chart" uri="{C3380CC4-5D6E-409C-BE32-E72D297353CC}">
                  <c16:uniqueId val="{0000000F-7FCE-4F7C-9B12-8678705161C7}"/>
                </c:ext>
              </c:extLst>
            </c:dLbl>
            <c:spPr>
              <a:noFill/>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'Sources of Revenue'!$A$8:$A$15</c:f>
              <c:strCache>
                <c:ptCount val="8"/>
                <c:pt idx="0">
                  <c:v>Federal Financial Aid</c:v>
                </c:pt>
                <c:pt idx="1">
                  <c:v>Federal Grants</c:v>
                </c:pt>
                <c:pt idx="2">
                  <c:v>Gifts/Nonfederal Grants</c:v>
                </c:pt>
                <c:pt idx="3">
                  <c:v>Tuition and Fees</c:v>
                </c:pt>
                <c:pt idx="4">
                  <c:v>Use of Tuition Balances</c:v>
                </c:pt>
                <c:pt idx="5">
                  <c:v>State Revenue</c:v>
                </c:pt>
                <c:pt idx="6">
                  <c:v>Auxiliaries</c:v>
                </c:pt>
                <c:pt idx="7">
                  <c:v>Other Operating Receipts</c:v>
                </c:pt>
              </c:strCache>
            </c:strRef>
          </c:cat>
          <c:val>
            <c:numRef>
              <c:f>'Sources of Revenue'!$B$8:$B$15</c:f>
              <c:numCache>
                <c:formatCode>_("$"* #,##0_);_("$"* \(#,##0\);_("$"* "-"??_);_(@_)</c:formatCode>
                <c:ptCount val="8"/>
                <c:pt idx="0">
                  <c:v>32555870</c:v>
                </c:pt>
                <c:pt idx="1">
                  <c:v>1991625</c:v>
                </c:pt>
                <c:pt idx="2">
                  <c:v>479540</c:v>
                </c:pt>
                <c:pt idx="3">
                  <c:v>35590915</c:v>
                </c:pt>
                <c:pt idx="4">
                  <c:v>3044456</c:v>
                </c:pt>
                <c:pt idx="5">
                  <c:v>24601368</c:v>
                </c:pt>
                <c:pt idx="6">
                  <c:v>37352378</c:v>
                </c:pt>
                <c:pt idx="7">
                  <c:v>3147684</c:v>
                </c:pt>
              </c:numCache>
            </c:numRef>
          </c:val>
          <c:extLst>
            <c:ext xmlns:c16="http://schemas.microsoft.com/office/drawing/2014/chart" uri="{C3380CC4-5D6E-409C-BE32-E72D297353CC}">
              <c16:uniqueId val="{00000010-7FCE-4F7C-9B12-8678705161C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noFill/>
    <a:ln w="254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Source</a:t>
            </a:r>
            <a:r>
              <a:rPr lang="en-US" baseline="0">
                <a:solidFill>
                  <a:sysClr val="windowText" lastClr="000000"/>
                </a:solidFill>
              </a:rPr>
              <a:t> of Funds</a:t>
            </a:r>
          </a:p>
          <a:p>
            <a:pPr>
              <a:defRPr>
                <a:solidFill>
                  <a:sysClr val="windowText" lastClr="000000"/>
                </a:solidFill>
              </a:defRPr>
            </a:pPr>
            <a:r>
              <a:rPr lang="en-US" baseline="0">
                <a:solidFill>
                  <a:sysClr val="windowText" lastClr="000000"/>
                </a:solidFill>
              </a:rPr>
              <a:t>(excluding financial aid received by students)</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6421573555403851E-2"/>
          <c:y val="0.11691234635274551"/>
          <c:w val="0.90089691091618118"/>
          <c:h val="0.65575028927835644"/>
        </c:manualLayout>
      </c:layout>
      <c:lineChart>
        <c:grouping val="standard"/>
        <c:varyColors val="0"/>
        <c:ser>
          <c:idx val="0"/>
          <c:order val="0"/>
          <c:tx>
            <c:strRef>
              <c:f>'Landscape wo fin aid'!$B$26</c:f>
              <c:strCache>
                <c:ptCount val="1"/>
                <c:pt idx="0">
                  <c:v>State Support</c:v>
                </c:pt>
              </c:strCache>
            </c:strRef>
          </c:tx>
          <c:spPr>
            <a:ln w="38100" cap="rnd">
              <a:solidFill>
                <a:schemeClr val="accent1"/>
              </a:solidFill>
              <a:round/>
            </a:ln>
            <a:effectLst/>
          </c:spPr>
          <c:marker>
            <c:symbol val="none"/>
          </c:marker>
          <c:cat>
            <c:strRef>
              <c:f>'Landscape wo fin aid'!$A$27:$A$45</c:f>
              <c:strCache>
                <c:ptCount val="19"/>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strCache>
            </c:strRef>
          </c:cat>
          <c:val>
            <c:numRef>
              <c:f>'Landscape wo fin aid'!$B$27:$B$45</c:f>
              <c:numCache>
                <c:formatCode>0%</c:formatCode>
                <c:ptCount val="19"/>
                <c:pt idx="0">
                  <c:v>0.48369199709900856</c:v>
                </c:pt>
                <c:pt idx="1">
                  <c:v>0.46817299047549343</c:v>
                </c:pt>
                <c:pt idx="2">
                  <c:v>0.46476699604928218</c:v>
                </c:pt>
                <c:pt idx="3">
                  <c:v>0.39050863760445148</c:v>
                </c:pt>
                <c:pt idx="4">
                  <c:v>0.36116101975355847</c:v>
                </c:pt>
                <c:pt idx="5">
                  <c:v>0.35145387846773601</c:v>
                </c:pt>
                <c:pt idx="6">
                  <c:v>0.33452195641203619</c:v>
                </c:pt>
                <c:pt idx="7">
                  <c:v>0.33841836361471084</c:v>
                </c:pt>
                <c:pt idx="8">
                  <c:v>0.31859547126315546</c:v>
                </c:pt>
                <c:pt idx="9">
                  <c:v>0.28769820709418126</c:v>
                </c:pt>
                <c:pt idx="10">
                  <c:v>0.29082415013173774</c:v>
                </c:pt>
                <c:pt idx="11">
                  <c:v>0.23852299954500777</c:v>
                </c:pt>
                <c:pt idx="12">
                  <c:v>0.25590027131203497</c:v>
                </c:pt>
                <c:pt idx="13">
                  <c:v>0.26885993284962273</c:v>
                </c:pt>
                <c:pt idx="14">
                  <c:v>0.26957369782872254</c:v>
                </c:pt>
                <c:pt idx="15">
                  <c:v>0.22104856832564626</c:v>
                </c:pt>
                <c:pt idx="16">
                  <c:v>0.21520674546986077</c:v>
                </c:pt>
                <c:pt idx="17">
                  <c:v>0.21399022792869898</c:v>
                </c:pt>
                <c:pt idx="18">
                  <c:v>0.23163392470956462</c:v>
                </c:pt>
              </c:numCache>
            </c:numRef>
          </c:val>
          <c:smooth val="0"/>
          <c:extLst>
            <c:ext xmlns:c16="http://schemas.microsoft.com/office/drawing/2014/chart" uri="{C3380CC4-5D6E-409C-BE32-E72D297353CC}">
              <c16:uniqueId val="{00000000-5A7B-4501-9FD8-C97E14996BB3}"/>
            </c:ext>
          </c:extLst>
        </c:ser>
        <c:ser>
          <c:idx val="1"/>
          <c:order val="1"/>
          <c:tx>
            <c:strRef>
              <c:f>'Landscape wo fin aid'!$C$26</c:f>
              <c:strCache>
                <c:ptCount val="1"/>
                <c:pt idx="0">
                  <c:v>Tuition</c:v>
                </c:pt>
              </c:strCache>
            </c:strRef>
          </c:tx>
          <c:spPr>
            <a:ln w="38100" cap="rnd">
              <a:solidFill>
                <a:schemeClr val="accent2"/>
              </a:solidFill>
              <a:round/>
            </a:ln>
            <a:effectLst/>
          </c:spPr>
          <c:marker>
            <c:symbol val="none"/>
          </c:marker>
          <c:cat>
            <c:strRef>
              <c:f>'Landscape wo fin aid'!$A$27:$A$45</c:f>
              <c:strCache>
                <c:ptCount val="19"/>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strCache>
            </c:strRef>
          </c:cat>
          <c:val>
            <c:numRef>
              <c:f>'Landscape wo fin aid'!$C$27:$C$45</c:f>
              <c:numCache>
                <c:formatCode>0%</c:formatCode>
                <c:ptCount val="19"/>
                <c:pt idx="0">
                  <c:v>0.22400145974378979</c:v>
                </c:pt>
                <c:pt idx="1">
                  <c:v>0.23458003868815647</c:v>
                </c:pt>
                <c:pt idx="2">
                  <c:v>0.2646513981109051</c:v>
                </c:pt>
                <c:pt idx="3">
                  <c:v>0.28879654740635807</c:v>
                </c:pt>
                <c:pt idx="4">
                  <c:v>0.31048482246558046</c:v>
                </c:pt>
                <c:pt idx="5">
                  <c:v>0.31376040138246425</c:v>
                </c:pt>
                <c:pt idx="6">
                  <c:v>0.31269590224143679</c:v>
                </c:pt>
                <c:pt idx="7">
                  <c:v>0.31048133856055266</c:v>
                </c:pt>
                <c:pt idx="8">
                  <c:v>0.34437864747911029</c:v>
                </c:pt>
                <c:pt idx="9">
                  <c:v>0.33815165335968367</c:v>
                </c:pt>
                <c:pt idx="10">
                  <c:v>0.34794806877076717</c:v>
                </c:pt>
                <c:pt idx="11">
                  <c:v>0.37230680023510432</c:v>
                </c:pt>
                <c:pt idx="12">
                  <c:v>0.37331683403875932</c:v>
                </c:pt>
                <c:pt idx="13">
                  <c:v>0.38880779835664231</c:v>
                </c:pt>
                <c:pt idx="14">
                  <c:v>0.37383735396677609</c:v>
                </c:pt>
                <c:pt idx="15">
                  <c:v>0.37559231702030127</c:v>
                </c:pt>
                <c:pt idx="16">
                  <c:v>0.39249599420344927</c:v>
                </c:pt>
                <c:pt idx="17">
                  <c:v>0.39515805716304647</c:v>
                </c:pt>
                <c:pt idx="18">
                  <c:v>0.36377093409358768</c:v>
                </c:pt>
              </c:numCache>
            </c:numRef>
          </c:val>
          <c:smooth val="0"/>
          <c:extLst>
            <c:ext xmlns:c16="http://schemas.microsoft.com/office/drawing/2014/chart" uri="{C3380CC4-5D6E-409C-BE32-E72D297353CC}">
              <c16:uniqueId val="{00000001-5A7B-4501-9FD8-C97E14996BB3}"/>
            </c:ext>
          </c:extLst>
        </c:ser>
        <c:ser>
          <c:idx val="2"/>
          <c:order val="2"/>
          <c:tx>
            <c:strRef>
              <c:f>'Landscape wo fin aid'!$D$26</c:f>
              <c:strCache>
                <c:ptCount val="1"/>
                <c:pt idx="0">
                  <c:v>Federal grants</c:v>
                </c:pt>
              </c:strCache>
            </c:strRef>
          </c:tx>
          <c:spPr>
            <a:ln w="28575" cap="rnd">
              <a:solidFill>
                <a:schemeClr val="accent3"/>
              </a:solidFill>
              <a:round/>
            </a:ln>
            <a:effectLst/>
          </c:spPr>
          <c:marker>
            <c:symbol val="none"/>
          </c:marker>
          <c:cat>
            <c:strRef>
              <c:f>'Landscape wo fin aid'!$A$27:$A$45</c:f>
              <c:strCache>
                <c:ptCount val="19"/>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strCache>
            </c:strRef>
          </c:cat>
          <c:val>
            <c:numRef>
              <c:f>'Landscape wo fin aid'!$D$27:$D$45</c:f>
              <c:numCache>
                <c:formatCode>0%</c:formatCode>
                <c:ptCount val="19"/>
                <c:pt idx="0">
                  <c:v>4.5166397118086059E-2</c:v>
                </c:pt>
                <c:pt idx="1">
                  <c:v>4.1905263188980538E-2</c:v>
                </c:pt>
                <c:pt idx="2">
                  <c:v>4.2018198207969717E-2</c:v>
                </c:pt>
                <c:pt idx="3">
                  <c:v>3.9888739961277571E-2</c:v>
                </c:pt>
                <c:pt idx="4">
                  <c:v>3.7228948262701629E-2</c:v>
                </c:pt>
                <c:pt idx="5">
                  <c:v>4.2169982901259201E-2</c:v>
                </c:pt>
                <c:pt idx="6">
                  <c:v>3.9932170799996669E-2</c:v>
                </c:pt>
                <c:pt idx="7">
                  <c:v>3.943977507137636E-2</c:v>
                </c:pt>
                <c:pt idx="8">
                  <c:v>3.4832259855254323E-2</c:v>
                </c:pt>
                <c:pt idx="9">
                  <c:v>3.2819948406651041E-2</c:v>
                </c:pt>
                <c:pt idx="10">
                  <c:v>4.1559809670823428E-2</c:v>
                </c:pt>
                <c:pt idx="11">
                  <c:v>4.0478326640890308E-2</c:v>
                </c:pt>
                <c:pt idx="12">
                  <c:v>3.7026295008379548E-2</c:v>
                </c:pt>
                <c:pt idx="13">
                  <c:v>1.732470220000706E-2</c:v>
                </c:pt>
                <c:pt idx="14">
                  <c:v>2.016798047844006E-2</c:v>
                </c:pt>
                <c:pt idx="15">
                  <c:v>2.1007702737098479E-2</c:v>
                </c:pt>
                <c:pt idx="16">
                  <c:v>2.036783878365659E-2</c:v>
                </c:pt>
                <c:pt idx="17">
                  <c:v>1.8869391660941148E-2</c:v>
                </c:pt>
                <c:pt idx="18">
                  <c:v>1.8752124487536086E-2</c:v>
                </c:pt>
              </c:numCache>
            </c:numRef>
          </c:val>
          <c:smooth val="0"/>
          <c:extLst>
            <c:ext xmlns:c16="http://schemas.microsoft.com/office/drawing/2014/chart" uri="{C3380CC4-5D6E-409C-BE32-E72D297353CC}">
              <c16:uniqueId val="{00000002-5A7B-4501-9FD8-C97E14996BB3}"/>
            </c:ext>
          </c:extLst>
        </c:ser>
        <c:ser>
          <c:idx val="3"/>
          <c:order val="3"/>
          <c:tx>
            <c:strRef>
              <c:f>'Landscape wo fin aid'!$E$26</c:f>
              <c:strCache>
                <c:ptCount val="1"/>
                <c:pt idx="0">
                  <c:v>Auxiliaries &amp; other receipts</c:v>
                </c:pt>
              </c:strCache>
            </c:strRef>
          </c:tx>
          <c:spPr>
            <a:ln w="28575" cap="rnd">
              <a:solidFill>
                <a:schemeClr val="accent4"/>
              </a:solidFill>
              <a:round/>
            </a:ln>
            <a:effectLst/>
          </c:spPr>
          <c:marker>
            <c:symbol val="none"/>
          </c:marker>
          <c:cat>
            <c:strRef>
              <c:f>'Landscape wo fin aid'!$A$27:$A$45</c:f>
              <c:strCache>
                <c:ptCount val="19"/>
                <c:pt idx="0">
                  <c:v>2000-01</c:v>
                </c:pt>
                <c:pt idx="1">
                  <c:v>2001-02</c:v>
                </c:pt>
                <c:pt idx="2">
                  <c:v>2002-03</c:v>
                </c:pt>
                <c:pt idx="3">
                  <c:v>2003-04</c:v>
                </c:pt>
                <c:pt idx="4">
                  <c:v>2004-05</c:v>
                </c:pt>
                <c:pt idx="5">
                  <c:v>2005-06</c:v>
                </c:pt>
                <c:pt idx="6">
                  <c:v>2006-07</c:v>
                </c:pt>
                <c:pt idx="7">
                  <c:v>2007-08</c:v>
                </c:pt>
                <c:pt idx="8">
                  <c:v>2008-09</c:v>
                </c:pt>
                <c:pt idx="9">
                  <c:v>2009-10</c:v>
                </c:pt>
                <c:pt idx="10">
                  <c:v>2010-11</c:v>
                </c:pt>
                <c:pt idx="11">
                  <c:v>2011-12</c:v>
                </c:pt>
                <c:pt idx="12">
                  <c:v>2012-13</c:v>
                </c:pt>
                <c:pt idx="13">
                  <c:v>2013-14</c:v>
                </c:pt>
                <c:pt idx="14">
                  <c:v>2014-15</c:v>
                </c:pt>
                <c:pt idx="15">
                  <c:v>2015-16</c:v>
                </c:pt>
                <c:pt idx="16">
                  <c:v>2016-17</c:v>
                </c:pt>
                <c:pt idx="17">
                  <c:v>2017-18</c:v>
                </c:pt>
                <c:pt idx="18">
                  <c:v>2018-19</c:v>
                </c:pt>
              </c:strCache>
            </c:strRef>
          </c:cat>
          <c:val>
            <c:numRef>
              <c:f>'Landscape wo fin aid'!$E$27:$E$45</c:f>
              <c:numCache>
                <c:formatCode>0%</c:formatCode>
                <c:ptCount val="19"/>
                <c:pt idx="0">
                  <c:v>0.24714014603911555</c:v>
                </c:pt>
                <c:pt idx="1">
                  <c:v>0.25534170764736958</c:v>
                </c:pt>
                <c:pt idx="2">
                  <c:v>0.22856340763184299</c:v>
                </c:pt>
                <c:pt idx="3">
                  <c:v>0.28080607502791288</c:v>
                </c:pt>
                <c:pt idx="4">
                  <c:v>0.29112520951815946</c:v>
                </c:pt>
                <c:pt idx="5">
                  <c:v>0.29261573724854051</c:v>
                </c:pt>
                <c:pt idx="6">
                  <c:v>0.31284997054653035</c:v>
                </c:pt>
                <c:pt idx="7">
                  <c:v>0.31166052275336009</c:v>
                </c:pt>
                <c:pt idx="8">
                  <c:v>0.30219362140247991</c:v>
                </c:pt>
                <c:pt idx="9">
                  <c:v>0.34133019113948404</c:v>
                </c:pt>
                <c:pt idx="10">
                  <c:v>0.31966797142667169</c:v>
                </c:pt>
                <c:pt idx="11">
                  <c:v>0.34869187357899761</c:v>
                </c:pt>
                <c:pt idx="12">
                  <c:v>0.33375659964082616</c:v>
                </c:pt>
                <c:pt idx="13">
                  <c:v>0.32500756659372787</c:v>
                </c:pt>
                <c:pt idx="14">
                  <c:v>0.33642096772606128</c:v>
                </c:pt>
                <c:pt idx="15">
                  <c:v>0.38235141191695393</c:v>
                </c:pt>
                <c:pt idx="16">
                  <c:v>0.37192942154303338</c:v>
                </c:pt>
                <c:pt idx="17">
                  <c:v>0.3719823232473134</c:v>
                </c:pt>
                <c:pt idx="18">
                  <c:v>0.38584301670931159</c:v>
                </c:pt>
              </c:numCache>
            </c:numRef>
          </c:val>
          <c:smooth val="0"/>
          <c:extLst>
            <c:ext xmlns:c16="http://schemas.microsoft.com/office/drawing/2014/chart" uri="{C3380CC4-5D6E-409C-BE32-E72D297353CC}">
              <c16:uniqueId val="{00000003-5A7B-4501-9FD8-C97E14996BB3}"/>
            </c:ext>
          </c:extLst>
        </c:ser>
        <c:dLbls>
          <c:showLegendKey val="0"/>
          <c:showVal val="0"/>
          <c:showCatName val="0"/>
          <c:showSerName val="0"/>
          <c:showPercent val="0"/>
          <c:showBubbleSize val="0"/>
        </c:dLbls>
        <c:smooth val="0"/>
        <c:axId val="779026504"/>
        <c:axId val="779029128"/>
      </c:lineChart>
      <c:catAx>
        <c:axId val="779026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029128"/>
        <c:crosses val="autoZero"/>
        <c:auto val="1"/>
        <c:lblAlgn val="ctr"/>
        <c:lblOffset val="100"/>
        <c:noMultiLvlLbl val="0"/>
      </c:catAx>
      <c:valAx>
        <c:axId val="779029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9026504"/>
        <c:crosses val="autoZero"/>
        <c:crossBetween val="between"/>
      </c:valAx>
      <c:spPr>
        <a:noFill/>
        <a:ln>
          <a:noFill/>
        </a:ln>
        <a:effectLst/>
      </c:spPr>
    </c:plotArea>
    <c:legend>
      <c:legendPos val="b"/>
      <c:layout>
        <c:manualLayout>
          <c:xMode val="edge"/>
          <c:yMode val="edge"/>
          <c:x val="5.000005844781312E-2"/>
          <c:y val="0.87185166370332745"/>
          <c:w val="0.88886557470565686"/>
          <c:h val="0.11094403522140378"/>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UWRF Cost of Attendance for </a:t>
            </a:r>
          </a:p>
          <a:p>
            <a:pPr>
              <a:defRPr/>
            </a:pPr>
            <a:r>
              <a:rPr lang="en-US"/>
              <a:t>Typical WI Undergraduate (FY 2018-19)</a:t>
            </a:r>
          </a:p>
          <a:p>
            <a:pPr>
              <a:defRPr/>
            </a:pPr>
            <a:r>
              <a:rPr lang="en-US"/>
              <a:t>Total $19,255</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493975078046E-2"/>
          <c:y val="0.30205054787731955"/>
          <c:w val="0.93888888888888888"/>
          <c:h val="0.52115631379410909"/>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21C-44D3-BD2B-25F2B1932B1C}"/>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21C-44D3-BD2B-25F2B1932B1C}"/>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21C-44D3-BD2B-25F2B1932B1C}"/>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21C-44D3-BD2B-25F2B1932B1C}"/>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21C-44D3-BD2B-25F2B1932B1C}"/>
                </c:ext>
              </c:extLst>
            </c:dLbl>
            <c:dLbl>
              <c:idx val="1"/>
              <c:spPr>
                <a:noFill/>
                <a:ln>
                  <a:noFill/>
                </a:ln>
                <a:effectLst/>
              </c:spPr>
              <c:txPr>
                <a:bodyPr rot="0" spcFirstLastPara="1" vertOverflow="ellipsis" vert="horz" wrap="square" lIns="38100" tIns="19050" rIns="38100" bIns="19050" anchor="ctr" anchorCtr="1">
                  <a:spAutoFit/>
                </a:bodyPr>
                <a:lstStyle/>
                <a:p>
                  <a:pPr>
                    <a:defRPr sz="11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21C-44D3-BD2B-25F2B1932B1C}"/>
                </c:ext>
              </c:extLst>
            </c:dLbl>
            <c:dLbl>
              <c:idx val="2"/>
              <c:spPr>
                <a:noFill/>
                <a:ln>
                  <a:noFill/>
                </a:ln>
                <a:effectLst/>
              </c:spPr>
              <c:txPr>
                <a:bodyPr rot="0" spcFirstLastPara="1" vertOverflow="ellipsis" vert="horz" wrap="square" lIns="38100" tIns="19050" rIns="38100" bIns="19050" anchor="ctr" anchorCtr="1">
                  <a:spAutoFit/>
                </a:bodyPr>
                <a:lstStyle/>
                <a:p>
                  <a:pPr>
                    <a:defRPr sz="11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21C-44D3-BD2B-25F2B1932B1C}"/>
                </c:ext>
              </c:extLst>
            </c:dLbl>
            <c:dLbl>
              <c:idx val="3"/>
              <c:layout>
                <c:manualLayout>
                  <c:x val="-0.10493975078044858"/>
                  <c:y val="7.8671328671328672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7666997857671168"/>
                      <c:h val="0.19681818181818181"/>
                    </c:manualLayout>
                  </c15:layout>
                </c:ext>
                <c:ext xmlns:c16="http://schemas.microsoft.com/office/drawing/2014/chart" uri="{C3380CC4-5D6E-409C-BE32-E72D297353CC}">
                  <c16:uniqueId val="{00000007-521C-44D3-BD2B-25F2B1932B1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Tuition!$A$6:$A$9</c:f>
              <c:strCache>
                <c:ptCount val="4"/>
                <c:pt idx="0">
                  <c:v>Resident Tuition &amp; Fees</c:v>
                </c:pt>
                <c:pt idx="1">
                  <c:v>Books and Supplies</c:v>
                </c:pt>
                <c:pt idx="2">
                  <c:v>Room and Board</c:v>
                </c:pt>
                <c:pt idx="3">
                  <c:v>Personal &amp; Travel</c:v>
                </c:pt>
              </c:strCache>
            </c:strRef>
          </c:cat>
          <c:val>
            <c:numRef>
              <c:f>Tuition!$B$6:$B$9</c:f>
              <c:numCache>
                <c:formatCode>_("$"* #,##0_);_("$"* \(#,##0\);_("$"* "-"??_);_(@_)</c:formatCode>
                <c:ptCount val="4"/>
                <c:pt idx="0">
                  <c:v>8020</c:v>
                </c:pt>
                <c:pt idx="1">
                  <c:v>370</c:v>
                </c:pt>
                <c:pt idx="2">
                  <c:v>7760</c:v>
                </c:pt>
                <c:pt idx="3">
                  <c:v>3105</c:v>
                </c:pt>
              </c:numCache>
            </c:numRef>
          </c:val>
          <c:extLst>
            <c:ext xmlns:c16="http://schemas.microsoft.com/office/drawing/2014/chart" uri="{C3380CC4-5D6E-409C-BE32-E72D297353CC}">
              <c16:uniqueId val="{00000008-521C-44D3-BD2B-25F2B1932B1C}"/>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2017-2018 Expenditures - all</a:t>
            </a:r>
            <a:r>
              <a:rPr lang="en-US" baseline="0"/>
              <a:t> funds</a:t>
            </a:r>
            <a:endParaRPr lang="en-US"/>
          </a:p>
        </c:rich>
      </c:tx>
      <c:layout>
        <c:manualLayout>
          <c:xMode val="edge"/>
          <c:yMode val="edge"/>
          <c:x val="0.16369453622755503"/>
          <c:y val="2.5310463446578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289"/>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066887038669959E-2"/>
          <c:y val="0.23869516310461192"/>
          <c:w val="0.79837179835279215"/>
          <c:h val="0.70079927260486097"/>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0331-470B-9A9F-6E8E4F1DBE0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0331-470B-9A9F-6E8E4F1DBE0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331-470B-9A9F-6E8E4F1DBE0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0331-470B-9A9F-6E8E4F1DBE04}"/>
              </c:ext>
            </c:extLst>
          </c:dPt>
          <c:dPt>
            <c:idx val="4"/>
            <c:bubble3D val="0"/>
            <c:spPr>
              <a:solidFill>
                <a:schemeClr val="accent6">
                  <a:lumMod val="75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0331-470B-9A9F-6E8E4F1DBE04}"/>
              </c:ext>
            </c:extLst>
          </c:dPt>
          <c:dLbls>
            <c:dLbl>
              <c:idx val="0"/>
              <c:layout>
                <c:manualLayout>
                  <c:x val="9.4067680200638965E-2"/>
                  <c:y val="2.257170978627671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6831738885762524"/>
                      <c:h val="0.17837301587301585"/>
                    </c:manualLayout>
                  </c15:layout>
                </c:ext>
                <c:ext xmlns:c16="http://schemas.microsoft.com/office/drawing/2014/chart" uri="{C3380CC4-5D6E-409C-BE32-E72D297353CC}">
                  <c16:uniqueId val="{00000001-0331-470B-9A9F-6E8E4F1DBE04}"/>
                </c:ext>
              </c:extLst>
            </c:dLbl>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0331-470B-9A9F-6E8E4F1DBE04}"/>
                </c:ext>
              </c:extLst>
            </c:dLbl>
            <c:dLbl>
              <c:idx val="2"/>
              <c:layout>
                <c:manualLayout>
                  <c:x val="-4.5906005298921825E-2"/>
                  <c:y val="4.2813445348203472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331-470B-9A9F-6E8E4F1DBE04}"/>
                </c:ext>
              </c:extLst>
            </c:dLbl>
            <c:dLbl>
              <c:idx val="3"/>
              <c:layout>
                <c:manualLayout>
                  <c:x val="3.2921816033475264E-2"/>
                  <c:y val="6.1162064783147972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331-470B-9A9F-6E8E4F1DBE04}"/>
                </c:ext>
              </c:extLst>
            </c:dLbl>
            <c:dLbl>
              <c:idx val="4"/>
              <c:layout>
                <c:manualLayout>
                  <c:x val="1.6460908016737632E-2"/>
                  <c:y val="-4.5871548587360977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331-470B-9A9F-6E8E4F1DBE0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Expenditures!$E$3:$E$7</c:f>
              <c:strCache>
                <c:ptCount val="5"/>
                <c:pt idx="0">
                  <c:v>Academic Units</c:v>
                </c:pt>
                <c:pt idx="1">
                  <c:v>Auxiliary Units</c:v>
                </c:pt>
                <c:pt idx="2">
                  <c:v>Support Units</c:v>
                </c:pt>
                <c:pt idx="3">
                  <c:v>Student Financial Aid</c:v>
                </c:pt>
                <c:pt idx="4">
                  <c:v>Debt Service</c:v>
                </c:pt>
              </c:strCache>
            </c:strRef>
          </c:cat>
          <c:val>
            <c:numRef>
              <c:f>Expenditures!$F$3:$F$7</c:f>
              <c:numCache>
                <c:formatCode>"$"#,##0_);[Red]\("$"#,##0\)</c:formatCode>
                <c:ptCount val="5"/>
                <c:pt idx="0">
                  <c:v>35774777</c:v>
                </c:pt>
                <c:pt idx="1">
                  <c:v>29768947</c:v>
                </c:pt>
                <c:pt idx="2">
                  <c:v>37649793</c:v>
                </c:pt>
                <c:pt idx="3">
                  <c:v>37020063</c:v>
                </c:pt>
                <c:pt idx="4">
                  <c:v>8139697</c:v>
                </c:pt>
              </c:numCache>
            </c:numRef>
          </c:val>
          <c:extLst>
            <c:ext xmlns:c16="http://schemas.microsoft.com/office/drawing/2014/chart" uri="{C3380CC4-5D6E-409C-BE32-E72D297353CC}">
              <c16:uniqueId val="{0000000A-0331-470B-9A9F-6E8E4F1DBE04}"/>
            </c:ext>
          </c:extLst>
        </c:ser>
        <c:dLbls>
          <c:dLblPos val="outEnd"/>
          <c:showLegendKey val="0"/>
          <c:showVal val="0"/>
          <c:showCatName val="1"/>
          <c:showSerName val="0"/>
          <c:showPercent val="0"/>
          <c:showBubbleSize val="0"/>
          <c:showLeaderLines val="0"/>
        </c:dLbls>
      </c:pie3DChart>
      <c:spPr>
        <a:noFill/>
        <a:ln>
          <a:noFill/>
        </a:ln>
        <a:effectLst/>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Expenditure</a:t>
            </a:r>
            <a:r>
              <a:rPr lang="en-US" baseline="0">
                <a:solidFill>
                  <a:sysClr val="windowText" lastClr="000000"/>
                </a:solidFill>
              </a:rPr>
              <a:t> by Functional Classification</a:t>
            </a:r>
          </a:p>
          <a:p>
            <a:pPr>
              <a:defRPr>
                <a:solidFill>
                  <a:sysClr val="windowText" lastClr="000000"/>
                </a:solidFill>
              </a:defRPr>
            </a:pPr>
            <a:r>
              <a:rPr lang="en-US" baseline="0">
                <a:solidFill>
                  <a:sysClr val="windowText" lastClr="000000"/>
                </a:solidFill>
              </a:rPr>
              <a:t>FY 2017-18</a:t>
            </a:r>
            <a:endParaRPr lang="en-US">
              <a:solidFill>
                <a:sysClr val="windowText" lastClr="000000"/>
              </a:solidFill>
            </a:endParaRPr>
          </a:p>
        </c:rich>
      </c:tx>
      <c:overlay val="0"/>
      <c:spPr>
        <a:solidFill>
          <a:schemeClr val="bg1"/>
        </a:solid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994766758449677E-2"/>
          <c:y val="0.21709820056276749"/>
          <c:w val="0.8088434904541042"/>
          <c:h val="0.6781447552518969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B36-4E29-87E4-0D35967F74F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B36-4E29-87E4-0D35967F74F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B36-4E29-87E4-0D35967F74F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B36-4E29-87E4-0D35967F74F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B36-4E29-87E4-0D35967F74F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B36-4E29-87E4-0D35967F74F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B36-4E29-87E4-0D35967F74F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B36-4E29-87E4-0D35967F74F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B36-4E29-87E4-0D35967F74F9}"/>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0B36-4E29-87E4-0D35967F74F9}"/>
              </c:ext>
            </c:extLst>
          </c:dPt>
          <c:dLbls>
            <c:dLbl>
              <c:idx val="2"/>
              <c:layout>
                <c:manualLayout>
                  <c:x val="-0.18854863073864034"/>
                  <c:y val="-0.1737146207432404"/>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571964189407831"/>
                      <c:h val="7.1102464332036319E-2"/>
                    </c:manualLayout>
                  </c15:layout>
                </c:ext>
                <c:ext xmlns:c16="http://schemas.microsoft.com/office/drawing/2014/chart" uri="{C3380CC4-5D6E-409C-BE32-E72D297353CC}">
                  <c16:uniqueId val="{00000005-0B36-4E29-87E4-0D35967F74F9}"/>
                </c:ext>
              </c:extLst>
            </c:dLbl>
            <c:dLbl>
              <c:idx val="3"/>
              <c:layout>
                <c:manualLayout>
                  <c:x val="3.5676022423994536E-2"/>
                  <c:y val="-4.0023313642774998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3057127945617034"/>
                      <c:h val="9.2577710277112035E-2"/>
                    </c:manualLayout>
                  </c15:layout>
                </c:ext>
                <c:ext xmlns:c16="http://schemas.microsoft.com/office/drawing/2014/chart" uri="{C3380CC4-5D6E-409C-BE32-E72D297353CC}">
                  <c16:uniqueId val="{00000007-0B36-4E29-87E4-0D35967F74F9}"/>
                </c:ext>
              </c:extLst>
            </c:dLbl>
            <c:dLbl>
              <c:idx val="4"/>
              <c:layout>
                <c:manualLayout>
                  <c:x val="-8.9301296114020642E-2"/>
                  <c:y val="1.801801801801801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846835789972209"/>
                      <c:h val="7.4020815810622226E-2"/>
                    </c:manualLayout>
                  </c15:layout>
                </c:ext>
                <c:ext xmlns:c16="http://schemas.microsoft.com/office/drawing/2014/chart" uri="{C3380CC4-5D6E-409C-BE32-E72D297353CC}">
                  <c16:uniqueId val="{00000009-0B36-4E29-87E4-0D35967F74F9}"/>
                </c:ext>
              </c:extLst>
            </c:dLbl>
            <c:dLbl>
              <c:idx val="5"/>
              <c:layout>
                <c:manualLayout>
                  <c:x val="-0.18404907975460122"/>
                  <c:y val="-1.1010883812341616E-1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B36-4E29-87E4-0D35967F74F9}"/>
                </c:ext>
              </c:extLst>
            </c:dLbl>
            <c:dLbl>
              <c:idx val="6"/>
              <c:layout>
                <c:manualLayout>
                  <c:x val="-2.6672675274819636E-2"/>
                  <c:y val="-1.6161971507171052E-2"/>
                </c:manualLayout>
              </c:layout>
              <c:spPr>
                <a:noFill/>
                <a:ln>
                  <a:noFill/>
                </a:ln>
                <a:effectLst/>
              </c:spPr>
              <c:txPr>
                <a:bodyPr rot="0" spcFirstLastPara="1" vertOverflow="ellipsis" vert="horz" wrap="square" lIns="38100" tIns="19050" rIns="38100" bIns="19050" anchor="ctr" anchorCtr="1">
                  <a:no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24177783900345212"/>
                      <c:h val="0.10781265121189459"/>
                    </c:manualLayout>
                  </c15:layout>
                </c:ext>
                <c:ext xmlns:c16="http://schemas.microsoft.com/office/drawing/2014/chart" uri="{C3380CC4-5D6E-409C-BE32-E72D297353CC}">
                  <c16:uniqueId val="{0000000D-0B36-4E29-87E4-0D35967F74F9}"/>
                </c:ext>
              </c:extLst>
            </c:dLbl>
            <c:dLbl>
              <c:idx val="7"/>
              <c:layout>
                <c:manualLayout>
                  <c:x val="0.153729430363962"/>
                  <c:y val="-0.177606570474826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B36-4E29-87E4-0D35967F74F9}"/>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howLeaderLines val="0"/>
            <c:extLst>
              <c:ext xmlns:c15="http://schemas.microsoft.com/office/drawing/2012/chart" uri="{CE6537A1-D6FC-4f65-9D91-7224C49458BB}"/>
            </c:extLst>
          </c:dLbls>
          <c:cat>
            <c:strRef>
              <c:f>'Exp by functional class'!$B$4:$B$13</c:f>
              <c:strCache>
                <c:ptCount val="10"/>
                <c:pt idx="0">
                  <c:v>Student Services</c:v>
                </c:pt>
                <c:pt idx="1">
                  <c:v>Institutional Support</c:v>
                </c:pt>
                <c:pt idx="2">
                  <c:v>Instruction</c:v>
                </c:pt>
                <c:pt idx="3">
                  <c:v>Research</c:v>
                </c:pt>
                <c:pt idx="4">
                  <c:v>Public Service</c:v>
                </c:pt>
                <c:pt idx="5">
                  <c:v>Academic Support</c:v>
                </c:pt>
                <c:pt idx="6">
                  <c:v>Operation/Maintenance</c:v>
                </c:pt>
                <c:pt idx="7">
                  <c:v>Auxiliary Enterprises</c:v>
                </c:pt>
                <c:pt idx="8">
                  <c:v>Financial Aid</c:v>
                </c:pt>
                <c:pt idx="9">
                  <c:v>Farm Operations</c:v>
                </c:pt>
              </c:strCache>
            </c:strRef>
          </c:cat>
          <c:val>
            <c:numRef>
              <c:f>'Exp by functional class'!$C$4:$C$13</c:f>
              <c:numCache>
                <c:formatCode>_("$"* #,##0_);_("$"* \(#,##0\);_("$"* "-"??_);_(@_)</c:formatCode>
                <c:ptCount val="10"/>
                <c:pt idx="0">
                  <c:v>19286536.359999999</c:v>
                </c:pt>
                <c:pt idx="1">
                  <c:v>7603602.96</c:v>
                </c:pt>
                <c:pt idx="2">
                  <c:v>33871771.699999996</c:v>
                </c:pt>
                <c:pt idx="3">
                  <c:v>915876.22</c:v>
                </c:pt>
                <c:pt idx="4">
                  <c:v>3356398.2600000002</c:v>
                </c:pt>
                <c:pt idx="5">
                  <c:v>9820876.7300000004</c:v>
                </c:pt>
                <c:pt idx="6">
                  <c:v>16659102.190000001</c:v>
                </c:pt>
                <c:pt idx="7">
                  <c:v>18347680.149999999</c:v>
                </c:pt>
                <c:pt idx="8">
                  <c:v>37250026.18</c:v>
                </c:pt>
                <c:pt idx="9">
                  <c:v>1241407.28</c:v>
                </c:pt>
              </c:numCache>
            </c:numRef>
          </c:val>
          <c:extLst>
            <c:ext xmlns:c16="http://schemas.microsoft.com/office/drawing/2014/chart" uri="{C3380CC4-5D6E-409C-BE32-E72D297353CC}">
              <c16:uniqueId val="{00000014-0B36-4E29-87E4-0D35967F74F9}"/>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FY 2017-18 Ending</a:t>
            </a:r>
            <a:r>
              <a:rPr lang="en-US" baseline="0"/>
              <a:t> Fund Balance </a:t>
            </a:r>
          </a:p>
          <a:p>
            <a:pPr>
              <a:defRPr/>
            </a:pPr>
            <a:r>
              <a:rPr lang="en-US" baseline="0"/>
              <a:t>(in millions)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'fund balance'!$B$12</c:f>
              <c:strCache>
                <c:ptCount val="1"/>
                <c:pt idx="0">
                  <c:v>Committed</c:v>
                </c:pt>
              </c:strCache>
            </c:strRef>
          </c:tx>
          <c:spPr>
            <a:solidFill>
              <a:schemeClr val="accent1"/>
            </a:solidFill>
            <a:ln>
              <a:noFill/>
            </a:ln>
            <a:effectLst/>
          </c:spPr>
          <c:invertIfNegative val="0"/>
          <c:cat>
            <c:strRef>
              <c:f>'fund balance'!$A$13:$A$18</c:f>
              <c:strCache>
                <c:ptCount val="5"/>
                <c:pt idx="0">
                  <c:v>Tuition</c:v>
                </c:pt>
                <c:pt idx="1">
                  <c:v>Auxiliary</c:v>
                </c:pt>
                <c:pt idx="2">
                  <c:v>General Operations</c:v>
                </c:pt>
                <c:pt idx="3">
                  <c:v>Federal Indirect</c:v>
                </c:pt>
                <c:pt idx="4">
                  <c:v>Auxiliary Debt Service</c:v>
                </c:pt>
              </c:strCache>
            </c:strRef>
          </c:cat>
          <c:val>
            <c:numRef>
              <c:f>'fund balance'!$B$13:$B$18</c:f>
              <c:numCache>
                <c:formatCode>_("$"* #,##0.0_);_("$"* \(#,##0.0\);_("$"* "-"??_);_(@_)</c:formatCode>
                <c:ptCount val="6"/>
                <c:pt idx="0">
                  <c:v>9.9</c:v>
                </c:pt>
                <c:pt idx="1">
                  <c:v>5.9</c:v>
                </c:pt>
                <c:pt idx="2">
                  <c:v>0.6</c:v>
                </c:pt>
                <c:pt idx="3">
                  <c:v>0.1</c:v>
                </c:pt>
                <c:pt idx="4">
                  <c:v>4.5</c:v>
                </c:pt>
                <c:pt idx="5">
                  <c:v>21.000000000000004</c:v>
                </c:pt>
              </c:numCache>
            </c:numRef>
          </c:val>
          <c:extLst>
            <c:ext xmlns:c16="http://schemas.microsoft.com/office/drawing/2014/chart" uri="{C3380CC4-5D6E-409C-BE32-E72D297353CC}">
              <c16:uniqueId val="{00000000-AC42-4763-8D35-279192503A09}"/>
            </c:ext>
          </c:extLst>
        </c:ser>
        <c:ser>
          <c:idx val="1"/>
          <c:order val="1"/>
          <c:tx>
            <c:strRef>
              <c:f>'fund balance'!$C$12</c:f>
              <c:strCache>
                <c:ptCount val="1"/>
                <c:pt idx="0">
                  <c:v>Not-committed (designated, reserves, undocumented)</c:v>
                </c:pt>
              </c:strCache>
            </c:strRef>
          </c:tx>
          <c:spPr>
            <a:solidFill>
              <a:schemeClr val="accent2"/>
            </a:solidFill>
            <a:ln>
              <a:noFill/>
            </a:ln>
            <a:effectLst/>
          </c:spPr>
          <c:invertIfNegative val="0"/>
          <c:cat>
            <c:strRef>
              <c:f>'fund balance'!$A$13:$A$18</c:f>
              <c:strCache>
                <c:ptCount val="5"/>
                <c:pt idx="0">
                  <c:v>Tuition</c:v>
                </c:pt>
                <c:pt idx="1">
                  <c:v>Auxiliary</c:v>
                </c:pt>
                <c:pt idx="2">
                  <c:v>General Operations</c:v>
                </c:pt>
                <c:pt idx="3">
                  <c:v>Federal Indirect</c:v>
                </c:pt>
                <c:pt idx="4">
                  <c:v>Auxiliary Debt Service</c:v>
                </c:pt>
              </c:strCache>
            </c:strRef>
          </c:cat>
          <c:val>
            <c:numRef>
              <c:f>'fund balance'!$C$13:$C$18</c:f>
              <c:numCache>
                <c:formatCode>_("$"* #,##0.0_);_("$"* \(#,##0.0\);_("$"* "-"??_);_(@_)</c:formatCode>
                <c:ptCount val="6"/>
                <c:pt idx="0">
                  <c:v>0.8</c:v>
                </c:pt>
                <c:pt idx="1">
                  <c:v>0.3</c:v>
                </c:pt>
                <c:pt idx="2">
                  <c:v>0</c:v>
                </c:pt>
                <c:pt idx="3">
                  <c:v>0.1</c:v>
                </c:pt>
                <c:pt idx="4">
                  <c:v>0.1</c:v>
                </c:pt>
                <c:pt idx="5">
                  <c:v>1.3000000000000003</c:v>
                </c:pt>
              </c:numCache>
            </c:numRef>
          </c:val>
          <c:extLst>
            <c:ext xmlns:c16="http://schemas.microsoft.com/office/drawing/2014/chart" uri="{C3380CC4-5D6E-409C-BE32-E72D297353CC}">
              <c16:uniqueId val="{00000001-AC42-4763-8D35-279192503A09}"/>
            </c:ext>
          </c:extLst>
        </c:ser>
        <c:dLbls>
          <c:showLegendKey val="0"/>
          <c:showVal val="0"/>
          <c:showCatName val="0"/>
          <c:showSerName val="0"/>
          <c:showPercent val="0"/>
          <c:showBubbleSize val="0"/>
        </c:dLbls>
        <c:gapWidth val="55"/>
        <c:overlap val="100"/>
        <c:axId val="652774584"/>
        <c:axId val="648455120"/>
      </c:barChart>
      <c:catAx>
        <c:axId val="65277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48455120"/>
        <c:crosses val="autoZero"/>
        <c:auto val="1"/>
        <c:lblAlgn val="ctr"/>
        <c:lblOffset val="100"/>
        <c:noMultiLvlLbl val="0"/>
      </c:catAx>
      <c:valAx>
        <c:axId val="6484551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_);_(&quot;$&quot;* \(#,##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774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Faculty and Staff FTE Fall 2018</a:t>
            </a:r>
          </a:p>
          <a:p>
            <a:pPr>
              <a:defRPr/>
            </a:pPr>
            <a:r>
              <a:rPr lang="en-US"/>
              <a:t>Total Positions 646 - All Funds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16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590688361223943E-2"/>
          <c:y val="0.24421549298619297"/>
          <c:w val="0.83115348249630228"/>
          <c:h val="0.66360593539668933"/>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CC6-4437-AB4B-047002BF8EB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CC6-4437-AB4B-047002BF8EB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CC6-4437-AB4B-047002BF8EB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CC6-4437-AB4B-047002BF8EB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CC6-4437-AB4B-047002BF8EB8}"/>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C6-4437-AB4B-047002BF8EB8}"/>
                </c:ext>
              </c:extLst>
            </c:dLbl>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C6-4437-AB4B-047002BF8EB8}"/>
                </c:ext>
              </c:extLst>
            </c:dLbl>
            <c:dLbl>
              <c:idx val="2"/>
              <c:layout>
                <c:manualLayout>
                  <c:x val="1.1001374883110392E-2"/>
                  <c:y val="2.9596416736191056E-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CC6-4437-AB4B-047002BF8EB8}"/>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C6-4437-AB4B-047002BF8EB8}"/>
                </c:ext>
              </c:extLst>
            </c:dLbl>
            <c:dLbl>
              <c:idx val="4"/>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CC6-4437-AB4B-047002BF8EB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'Faculty and Staff'!$A$4:$A$8</c:f>
              <c:strCache>
                <c:ptCount val="5"/>
                <c:pt idx="0">
                  <c:v>University Staff</c:v>
                </c:pt>
                <c:pt idx="1">
                  <c:v>Faculty</c:v>
                </c:pt>
                <c:pt idx="2">
                  <c:v>Lecturers</c:v>
                </c:pt>
                <c:pt idx="3">
                  <c:v>Academic Staff</c:v>
                </c:pt>
                <c:pt idx="4">
                  <c:v>Administration</c:v>
                </c:pt>
              </c:strCache>
            </c:strRef>
          </c:cat>
          <c:val>
            <c:numRef>
              <c:f>'Faculty and Staff'!$B$4:$B$8</c:f>
              <c:numCache>
                <c:formatCode>General</c:formatCode>
                <c:ptCount val="5"/>
                <c:pt idx="0">
                  <c:v>172</c:v>
                </c:pt>
                <c:pt idx="1">
                  <c:v>192</c:v>
                </c:pt>
                <c:pt idx="2">
                  <c:v>76</c:v>
                </c:pt>
                <c:pt idx="3">
                  <c:v>190</c:v>
                </c:pt>
                <c:pt idx="4">
                  <c:v>16</c:v>
                </c:pt>
              </c:numCache>
            </c:numRef>
          </c:val>
          <c:extLst>
            <c:ext xmlns:c16="http://schemas.microsoft.com/office/drawing/2014/chart" uri="{C3380CC4-5D6E-409C-BE32-E72D297353CC}">
              <c16:uniqueId val="{0000000A-FCC6-4437-AB4B-047002BF8EB8}"/>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0.76023</cdr:x>
      <cdr:y>0.92913</cdr:y>
    </cdr:from>
    <cdr:to>
      <cdr:x>0.98684</cdr:x>
      <cdr:y>0.98228</cdr:y>
    </cdr:to>
    <cdr:sp macro="" textlink="">
      <cdr:nvSpPr>
        <cdr:cNvPr id="2" name="TextBox 1">
          <a:extLst xmlns:a="http://schemas.openxmlformats.org/drawingml/2006/main">
            <a:ext uri="{FF2B5EF4-FFF2-40B4-BE49-F238E27FC236}">
              <a16:creationId xmlns:a16="http://schemas.microsoft.com/office/drawing/2014/main" id="{B4298C3A-3462-4988-B3A5-B480F41F7D3E}"/>
            </a:ext>
          </a:extLst>
        </cdr:cNvPr>
        <cdr:cNvSpPr txBox="1"/>
      </cdr:nvSpPr>
      <cdr:spPr>
        <a:xfrm xmlns:a="http://schemas.openxmlformats.org/drawingml/2006/main">
          <a:off x="4953000" y="4495800"/>
          <a:ext cx="1476375" cy="2571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Source: UWRF website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2F647-FE75-402D-B90B-874940D1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Frueh</dc:creator>
  <cp:keywords/>
  <dc:description/>
  <cp:lastModifiedBy>Brenda Irvin</cp:lastModifiedBy>
  <cp:revision>2</cp:revision>
  <cp:lastPrinted>2018-06-06T21:15:00Z</cp:lastPrinted>
  <dcterms:created xsi:type="dcterms:W3CDTF">2019-09-03T19:18:00Z</dcterms:created>
  <dcterms:modified xsi:type="dcterms:W3CDTF">2019-09-03T19:18:00Z</dcterms:modified>
</cp:coreProperties>
</file>